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1D" w:rsidRPr="004443E5" w:rsidRDefault="00E062FB" w:rsidP="00FD0BA2">
      <w:pPr>
        <w:spacing w:before="60" w:after="0"/>
        <w:rPr>
          <w:rFonts w:ascii="Times New Roman" w:eastAsia="Times New Roman" w:hAnsi="Times New Roman" w:cstheme="minorHAnsi"/>
          <w:sz w:val="28"/>
          <w:szCs w:val="28"/>
          <w:lang w:eastAsia="pl-PL"/>
        </w:rPr>
      </w:pPr>
      <w:r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 xml:space="preserve">3. </w:t>
      </w:r>
      <w:r w:rsidR="0058661D" w:rsidRPr="004443E5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>OSOBY DŁUGOTRWALE BEZROBOTNE</w:t>
      </w:r>
    </w:p>
    <w:p w:rsidR="00FD0BA2" w:rsidRDefault="00FD0BA2" w:rsidP="00FD0BA2">
      <w:pPr>
        <w:spacing w:before="60" w:after="0"/>
        <w:rPr>
          <w:rFonts w:ascii="Times New Roman" w:eastAsia="Times New Roman" w:hAnsi="Times New Roman" w:cstheme="minorHAnsi"/>
          <w:sz w:val="28"/>
          <w:szCs w:val="20"/>
          <w:lang w:eastAsia="pl-PL"/>
        </w:rPr>
      </w:pPr>
    </w:p>
    <w:p w:rsidR="00EE7EE9" w:rsidRDefault="002140DC" w:rsidP="0053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D5">
        <w:rPr>
          <w:rFonts w:ascii="Times New Roman" w:hAnsi="Times New Roman" w:cs="Times New Roman"/>
          <w:sz w:val="24"/>
          <w:szCs w:val="24"/>
        </w:rPr>
        <w:t xml:space="preserve">Bezrobocie jako ważne zjawisko społeczne </w:t>
      </w:r>
      <w:r w:rsidR="004B6191" w:rsidRPr="00411AD5">
        <w:rPr>
          <w:rFonts w:ascii="Times New Roman" w:hAnsi="Times New Roman" w:cs="Times New Roman"/>
          <w:sz w:val="24"/>
          <w:szCs w:val="24"/>
        </w:rPr>
        <w:t>jest przedmiotem zainteresowania</w:t>
      </w:r>
      <w:r w:rsidRPr="00411AD5">
        <w:rPr>
          <w:rFonts w:ascii="Times New Roman" w:hAnsi="Times New Roman" w:cs="Times New Roman"/>
          <w:sz w:val="24"/>
          <w:szCs w:val="24"/>
        </w:rPr>
        <w:t xml:space="preserve"> nauki, polityki i instytucji wspierających zatrudnienie. Szczególną uwagę poświęca się osobom</w:t>
      </w:r>
      <w:r w:rsidR="00535825" w:rsidRPr="00411AD5">
        <w:rPr>
          <w:rFonts w:ascii="Times New Roman" w:hAnsi="Times New Roman" w:cs="Times New Roman"/>
          <w:sz w:val="24"/>
          <w:szCs w:val="24"/>
        </w:rPr>
        <w:t xml:space="preserve"> długotrwale bezrobotnym</w:t>
      </w:r>
      <w:r w:rsidRPr="00411AD5">
        <w:rPr>
          <w:rFonts w:ascii="Times New Roman" w:hAnsi="Times New Roman" w:cs="Times New Roman"/>
          <w:sz w:val="24"/>
          <w:szCs w:val="24"/>
        </w:rPr>
        <w:t xml:space="preserve">, </w:t>
      </w:r>
      <w:r w:rsidR="00BD1CAD" w:rsidRPr="00411AD5">
        <w:rPr>
          <w:rFonts w:ascii="Times New Roman" w:hAnsi="Times New Roman" w:cs="Times New Roman"/>
          <w:sz w:val="24"/>
          <w:szCs w:val="24"/>
        </w:rPr>
        <w:t xml:space="preserve">które zdefiniowane są jako </w:t>
      </w:r>
      <w:r w:rsidRPr="00411AD5">
        <w:rPr>
          <w:rFonts w:ascii="Times New Roman" w:hAnsi="Times New Roman" w:cs="Times New Roman"/>
          <w:sz w:val="24"/>
          <w:szCs w:val="24"/>
        </w:rPr>
        <w:t>poszukując</w:t>
      </w:r>
      <w:r w:rsidR="00BD1CAD" w:rsidRPr="00411AD5">
        <w:rPr>
          <w:rFonts w:ascii="Times New Roman" w:hAnsi="Times New Roman" w:cs="Times New Roman"/>
          <w:sz w:val="24"/>
          <w:szCs w:val="24"/>
        </w:rPr>
        <w:t>y</w:t>
      </w:r>
      <w:r w:rsidRPr="00411AD5">
        <w:rPr>
          <w:rFonts w:ascii="Times New Roman" w:hAnsi="Times New Roman" w:cs="Times New Roman"/>
          <w:sz w:val="24"/>
          <w:szCs w:val="24"/>
        </w:rPr>
        <w:t xml:space="preserve"> pracy przez okres dłuższy niż 12 miesięcy. </w:t>
      </w:r>
      <w:r w:rsidR="004B6191" w:rsidRPr="00411AD5">
        <w:rPr>
          <w:rFonts w:ascii="Times New Roman" w:hAnsi="Times New Roman" w:cs="Times New Roman"/>
          <w:sz w:val="24"/>
          <w:szCs w:val="24"/>
        </w:rPr>
        <w:t xml:space="preserve">Problem długotrwałego bezrobocia jest bardzo złożony, a przeciwdziałanie zjawisku trudne. Osoby </w:t>
      </w:r>
      <w:r w:rsidR="004054C6" w:rsidRPr="00411AD5">
        <w:rPr>
          <w:rFonts w:ascii="Times New Roman" w:hAnsi="Times New Roman" w:cs="Times New Roman"/>
          <w:sz w:val="24"/>
          <w:szCs w:val="24"/>
        </w:rPr>
        <w:t>długotrwale bezrobotne</w:t>
      </w:r>
      <w:r w:rsidR="004B6191" w:rsidRPr="00411AD5">
        <w:rPr>
          <w:rFonts w:ascii="Times New Roman" w:hAnsi="Times New Roman" w:cs="Times New Roman"/>
          <w:sz w:val="24"/>
          <w:szCs w:val="24"/>
        </w:rPr>
        <w:t xml:space="preserve"> </w:t>
      </w:r>
      <w:r w:rsidR="004054C6" w:rsidRPr="00411AD5">
        <w:rPr>
          <w:rFonts w:ascii="Times New Roman" w:hAnsi="Times New Roman" w:cs="Times New Roman"/>
          <w:sz w:val="24"/>
          <w:szCs w:val="24"/>
        </w:rPr>
        <w:t>postrzegane są przez pracodawców jako mniej atrakcyjne przez co ulegają dalszemu wykluczeniu, a w konsekwencji jeszcze trudniej jest im się dostosować do szybko zmieniających się war</w:t>
      </w:r>
      <w:r w:rsidR="00721CF1">
        <w:rPr>
          <w:rFonts w:ascii="Times New Roman" w:hAnsi="Times New Roman" w:cs="Times New Roman"/>
          <w:sz w:val="24"/>
          <w:szCs w:val="24"/>
        </w:rPr>
        <w:t>unków i oczekiwań panujących na </w:t>
      </w:r>
      <w:r w:rsidR="004054C6" w:rsidRPr="00411AD5">
        <w:rPr>
          <w:rFonts w:ascii="Times New Roman" w:hAnsi="Times New Roman" w:cs="Times New Roman"/>
          <w:sz w:val="24"/>
          <w:szCs w:val="24"/>
        </w:rPr>
        <w:t xml:space="preserve">rynku pracy. </w:t>
      </w:r>
      <w:r w:rsidR="00F71E32" w:rsidRPr="00411AD5">
        <w:rPr>
          <w:rFonts w:ascii="Times New Roman" w:hAnsi="Times New Roman" w:cs="Times New Roman"/>
          <w:sz w:val="24"/>
          <w:szCs w:val="24"/>
        </w:rPr>
        <w:t>Znalezienie pracy wymaga stałego rozwijania kompetencji, niejednokrotnie przekwalifikowania zawodowego, czy zmiany miejsca zamieszkania. Poniższa ana</w:t>
      </w:r>
      <w:r w:rsidR="00721CF1">
        <w:rPr>
          <w:rFonts w:ascii="Times New Roman" w:hAnsi="Times New Roman" w:cs="Times New Roman"/>
          <w:sz w:val="24"/>
          <w:szCs w:val="24"/>
        </w:rPr>
        <w:t xml:space="preserve">liza przedstawia sytuację osób </w:t>
      </w:r>
      <w:r w:rsidR="00F71E32" w:rsidRPr="00411AD5">
        <w:rPr>
          <w:rFonts w:ascii="Times New Roman" w:hAnsi="Times New Roman" w:cs="Times New Roman"/>
          <w:sz w:val="24"/>
          <w:szCs w:val="24"/>
        </w:rPr>
        <w:t>długotrwale bezrobotnych na rynku pracy</w:t>
      </w:r>
      <w:r w:rsidR="00411AD5">
        <w:rPr>
          <w:rFonts w:ascii="Times New Roman" w:hAnsi="Times New Roman" w:cs="Times New Roman"/>
          <w:sz w:val="24"/>
          <w:szCs w:val="24"/>
        </w:rPr>
        <w:t>.</w:t>
      </w:r>
      <w:r w:rsidR="00F71E32" w:rsidRPr="00411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DF0" w:rsidRPr="007630AA" w:rsidRDefault="007E2DF0" w:rsidP="007E2DF0">
      <w:pPr>
        <w:spacing w:before="120" w:after="120"/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</w:pPr>
      <w:r w:rsidRPr="007630AA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>3.1. Długotrwale bezrobotni według</w:t>
      </w:r>
      <w:r w:rsidR="004103B6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 xml:space="preserve"> cech demograficzno-społecznych</w:t>
      </w:r>
    </w:p>
    <w:p w:rsidR="00012D51" w:rsidRPr="00012D51" w:rsidRDefault="00411AD5" w:rsidP="00BC21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6090">
        <w:rPr>
          <w:rFonts w:ascii="Times New Roman" w:hAnsi="Times New Roman" w:cs="Times New Roman"/>
          <w:sz w:val="24"/>
          <w:szCs w:val="24"/>
        </w:rPr>
        <w:t>Według danych Na</w:t>
      </w:r>
      <w:r>
        <w:rPr>
          <w:rFonts w:ascii="Times New Roman" w:hAnsi="Times New Roman" w:cs="Times New Roman"/>
          <w:sz w:val="24"/>
          <w:szCs w:val="24"/>
        </w:rPr>
        <w:t xml:space="preserve">rodowego Spisu </w:t>
      </w:r>
      <w:r w:rsidR="00D91173">
        <w:rPr>
          <w:rFonts w:ascii="Times New Roman" w:hAnsi="Times New Roman" w:cs="Times New Roman"/>
          <w:sz w:val="24"/>
          <w:szCs w:val="24"/>
        </w:rPr>
        <w:t xml:space="preserve">Powszechnego </w:t>
      </w:r>
      <w:r>
        <w:rPr>
          <w:rFonts w:ascii="Times New Roman" w:hAnsi="Times New Roman" w:cs="Times New Roman"/>
          <w:sz w:val="24"/>
          <w:szCs w:val="24"/>
        </w:rPr>
        <w:t xml:space="preserve">Ludności </w:t>
      </w:r>
      <w:r w:rsidR="00D91173">
        <w:rPr>
          <w:rFonts w:ascii="Times New Roman" w:hAnsi="Times New Roman" w:cs="Times New Roman"/>
          <w:sz w:val="24"/>
          <w:szCs w:val="24"/>
        </w:rPr>
        <w:t xml:space="preserve">i Mieszkań </w:t>
      </w:r>
      <w:r>
        <w:rPr>
          <w:rFonts w:ascii="Times New Roman" w:hAnsi="Times New Roman" w:cs="Times New Roman"/>
          <w:sz w:val="24"/>
          <w:szCs w:val="24"/>
        </w:rPr>
        <w:t>2011</w:t>
      </w:r>
      <w:r w:rsidRPr="00366090">
        <w:rPr>
          <w:rFonts w:ascii="Times New Roman" w:hAnsi="Times New Roman" w:cs="Times New Roman"/>
          <w:sz w:val="24"/>
          <w:szCs w:val="24"/>
        </w:rPr>
        <w:t xml:space="preserve"> liczba bezrobotnych w Polsce wyniosła 2050,1 tys., w tym 49</w:t>
      </w:r>
      <w:r>
        <w:rPr>
          <w:rFonts w:ascii="Times New Roman" w:hAnsi="Times New Roman" w:cs="Times New Roman"/>
          <w:sz w:val="24"/>
          <w:szCs w:val="24"/>
        </w:rPr>
        <w:t>8,0 tys. poszukiwało</w:t>
      </w:r>
      <w:r w:rsidRPr="00366090">
        <w:rPr>
          <w:rFonts w:ascii="Times New Roman" w:hAnsi="Times New Roman" w:cs="Times New Roman"/>
          <w:sz w:val="24"/>
          <w:szCs w:val="24"/>
        </w:rPr>
        <w:t xml:space="preserve"> pracy </w:t>
      </w:r>
      <w:r>
        <w:rPr>
          <w:rFonts w:ascii="Times New Roman" w:hAnsi="Times New Roman" w:cs="Times New Roman"/>
          <w:sz w:val="24"/>
          <w:szCs w:val="24"/>
        </w:rPr>
        <w:t>dłużej</w:t>
      </w:r>
      <w:r w:rsidRPr="00366090">
        <w:rPr>
          <w:rFonts w:ascii="Times New Roman" w:hAnsi="Times New Roman" w:cs="Times New Roman"/>
          <w:sz w:val="24"/>
          <w:szCs w:val="24"/>
        </w:rPr>
        <w:t xml:space="preserve"> niż 12 miesięcy</w:t>
      </w:r>
      <w:r>
        <w:rPr>
          <w:rFonts w:ascii="Times New Roman" w:hAnsi="Times New Roman" w:cs="Times New Roman"/>
          <w:sz w:val="24"/>
          <w:szCs w:val="24"/>
        </w:rPr>
        <w:t xml:space="preserve">, tj. 24,3% ogółu bezrobotnych. Większość długotrwale bezrobotnych stanowili mężczyźni – 260,6 tys. tj. 52,3%, natomiast kobiet było 237,3 tys. tj. 47,7%. </w:t>
      </w:r>
    </w:p>
    <w:p w:rsidR="00411AD5" w:rsidRPr="00012D51" w:rsidRDefault="00411AD5" w:rsidP="00411AD5">
      <w:pPr>
        <w:spacing w:after="0"/>
        <w:jc w:val="both"/>
        <w:rPr>
          <w:rFonts w:ascii="Times New Roman" w:hAnsi="Times New Roman" w:cs="Times New Roman"/>
          <w:b/>
          <w:sz w:val="18"/>
          <w:szCs w:val="20"/>
        </w:rPr>
      </w:pPr>
    </w:p>
    <w:p w:rsidR="00411AD5" w:rsidRPr="00FD0BA2" w:rsidRDefault="00773114" w:rsidP="00773114">
      <w:pPr>
        <w:pStyle w:val="Legenda"/>
        <w:rPr>
          <w:rFonts w:ascii="Times New Roman" w:hAnsi="Times New Roman" w:cs="Times New Roman"/>
          <w:color w:val="auto"/>
          <w:sz w:val="20"/>
          <w:szCs w:val="20"/>
        </w:rPr>
      </w:pPr>
      <w:r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Wykres 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3.1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411AD5"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 Struktura bezrobotnych według płci i miejsca zamieszkania*</w:t>
      </w:r>
    </w:p>
    <w:p w:rsidR="00FD0BA2" w:rsidRDefault="00EA2554" w:rsidP="00411AD5">
      <w:pPr>
        <w:jc w:val="both"/>
        <w:rPr>
          <w:rFonts w:ascii="Times New Roman" w:hAnsi="Times New Roman" w:cs="Times New Roman"/>
          <w:sz w:val="20"/>
          <w:szCs w:val="18"/>
        </w:rPr>
      </w:pPr>
      <w:r w:rsidRPr="00EA2554">
        <w:rPr>
          <w:rFonts w:ascii="Times New Roman" w:hAnsi="Times New Roman" w:cs="Times New Roman"/>
          <w:noProof/>
          <w:sz w:val="20"/>
          <w:szCs w:val="18"/>
          <w:lang w:eastAsia="pl-PL"/>
        </w:rPr>
        <w:drawing>
          <wp:inline distT="0" distB="0" distL="0" distR="0">
            <wp:extent cx="2876550" cy="3133725"/>
            <wp:effectExtent l="19050" t="0" r="0" b="0"/>
            <wp:docPr id="14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EA2554">
        <w:rPr>
          <w:rFonts w:ascii="Times New Roman" w:hAnsi="Times New Roman" w:cs="Times New Roman"/>
          <w:noProof/>
          <w:sz w:val="20"/>
          <w:szCs w:val="18"/>
          <w:lang w:eastAsia="pl-PL"/>
        </w:rPr>
        <w:drawing>
          <wp:inline distT="0" distB="0" distL="0" distR="0">
            <wp:extent cx="2790825" cy="3152775"/>
            <wp:effectExtent l="19050" t="0" r="0" b="0"/>
            <wp:docPr id="15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D0BA2" w:rsidRDefault="00FD0BA2" w:rsidP="00411AD5">
      <w:pPr>
        <w:jc w:val="both"/>
        <w:rPr>
          <w:rFonts w:ascii="Times New Roman" w:hAnsi="Times New Roman" w:cs="Times New Roman"/>
          <w:sz w:val="20"/>
          <w:szCs w:val="18"/>
        </w:rPr>
      </w:pPr>
    </w:p>
    <w:p w:rsidR="00411AD5" w:rsidRPr="00DD066C" w:rsidRDefault="008C26C7" w:rsidP="00411AD5">
      <w:pPr>
        <w:jc w:val="both"/>
        <w:rPr>
          <w:rFonts w:ascii="Times New Roman" w:hAnsi="Times New Roman" w:cs="Times New Roman"/>
          <w:sz w:val="20"/>
          <w:szCs w:val="20"/>
        </w:rPr>
      </w:pPr>
      <w:r w:rsidRPr="00DD066C">
        <w:rPr>
          <w:rFonts w:ascii="Times New Roman" w:hAnsi="Times New Roman" w:cs="Times New Roman"/>
          <w:sz w:val="20"/>
          <w:szCs w:val="20"/>
        </w:rPr>
        <w:t>*na</w:t>
      </w:r>
      <w:r w:rsidR="00411AD5" w:rsidRPr="00DD066C">
        <w:rPr>
          <w:rFonts w:ascii="Times New Roman" w:hAnsi="Times New Roman" w:cs="Times New Roman"/>
          <w:sz w:val="20"/>
          <w:szCs w:val="20"/>
        </w:rPr>
        <w:t xml:space="preserve"> wykresie nie</w:t>
      </w:r>
      <w:r w:rsidR="00721CF1" w:rsidRPr="00DD066C">
        <w:rPr>
          <w:rFonts w:ascii="Times New Roman" w:hAnsi="Times New Roman" w:cs="Times New Roman"/>
          <w:sz w:val="20"/>
          <w:szCs w:val="20"/>
        </w:rPr>
        <w:t xml:space="preserve"> </w:t>
      </w:r>
      <w:r w:rsidR="00411AD5" w:rsidRPr="00DD066C">
        <w:rPr>
          <w:rFonts w:ascii="Times New Roman" w:hAnsi="Times New Roman" w:cs="Times New Roman"/>
          <w:sz w:val="20"/>
          <w:szCs w:val="20"/>
        </w:rPr>
        <w:t>uwzględniono bezrobotnych o nieustalonym okresie poszukiwania pracy</w:t>
      </w:r>
    </w:p>
    <w:p w:rsidR="00411AD5" w:rsidRDefault="005369A6" w:rsidP="00C6268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411AD5">
        <w:rPr>
          <w:rFonts w:ascii="Times New Roman" w:hAnsi="Times New Roman" w:cs="Times New Roman"/>
          <w:sz w:val="24"/>
          <w:szCs w:val="24"/>
        </w:rPr>
        <w:t xml:space="preserve">decydowana </w:t>
      </w:r>
      <w:r w:rsidR="00411AD5" w:rsidRPr="0007157A">
        <w:rPr>
          <w:rFonts w:ascii="Times New Roman" w:hAnsi="Times New Roman" w:cs="Times New Roman"/>
          <w:sz w:val="24"/>
          <w:szCs w:val="24"/>
        </w:rPr>
        <w:t xml:space="preserve">większość długotrwale bezrobotnych </w:t>
      </w:r>
      <w:r w:rsidR="00411AD5">
        <w:rPr>
          <w:rFonts w:ascii="Times New Roman" w:hAnsi="Times New Roman" w:cs="Times New Roman"/>
          <w:sz w:val="24"/>
          <w:szCs w:val="24"/>
        </w:rPr>
        <w:t>była mieszkańcami</w:t>
      </w:r>
      <w:r w:rsidR="00411AD5" w:rsidRPr="0007157A">
        <w:rPr>
          <w:rFonts w:ascii="Times New Roman" w:hAnsi="Times New Roman" w:cs="Times New Roman"/>
          <w:sz w:val="24"/>
          <w:szCs w:val="24"/>
        </w:rPr>
        <w:t xml:space="preserve"> mi</w:t>
      </w:r>
      <w:r w:rsidR="00411AD5">
        <w:rPr>
          <w:rFonts w:ascii="Times New Roman" w:hAnsi="Times New Roman" w:cs="Times New Roman"/>
          <w:sz w:val="24"/>
          <w:szCs w:val="24"/>
        </w:rPr>
        <w:t>a</w:t>
      </w:r>
      <w:r w:rsidR="008C26C7">
        <w:rPr>
          <w:rFonts w:ascii="Times New Roman" w:hAnsi="Times New Roman" w:cs="Times New Roman"/>
          <w:sz w:val="24"/>
          <w:szCs w:val="24"/>
        </w:rPr>
        <w:t xml:space="preserve">st </w:t>
      </w:r>
      <w:r w:rsidR="008C26C7">
        <w:rPr>
          <w:rFonts w:ascii="Times New Roman" w:hAnsi="Times New Roman" w:cs="Times New Roman"/>
          <w:sz w:val="24"/>
          <w:szCs w:val="24"/>
        </w:rPr>
        <w:noBreakHyphen/>
        <w:t> w </w:t>
      </w:r>
      <w:r w:rsidR="00411AD5">
        <w:rPr>
          <w:rFonts w:ascii="Times New Roman" w:hAnsi="Times New Roman" w:cs="Times New Roman"/>
          <w:sz w:val="24"/>
          <w:szCs w:val="24"/>
        </w:rPr>
        <w:t>miastach mieszkało prawie 2/3 populacji długotrwal</w:t>
      </w:r>
      <w:r w:rsidR="008C26C7">
        <w:rPr>
          <w:rFonts w:ascii="Times New Roman" w:hAnsi="Times New Roman" w:cs="Times New Roman"/>
          <w:sz w:val="24"/>
          <w:szCs w:val="24"/>
        </w:rPr>
        <w:t>e bezrobotnych (325,4 tys., tj. </w:t>
      </w:r>
      <w:r w:rsidR="00411AD5">
        <w:rPr>
          <w:rFonts w:ascii="Times New Roman" w:hAnsi="Times New Roman" w:cs="Times New Roman"/>
          <w:sz w:val="24"/>
          <w:szCs w:val="24"/>
        </w:rPr>
        <w:t>65,3%</w:t>
      </w:r>
      <w:r>
        <w:rPr>
          <w:rFonts w:ascii="Times New Roman" w:hAnsi="Times New Roman" w:cs="Times New Roman"/>
          <w:sz w:val="24"/>
          <w:szCs w:val="24"/>
        </w:rPr>
        <w:t>)</w:t>
      </w:r>
      <w:r w:rsidR="008C26C7">
        <w:rPr>
          <w:rFonts w:ascii="Times New Roman" w:hAnsi="Times New Roman" w:cs="Times New Roman"/>
          <w:sz w:val="24"/>
          <w:szCs w:val="24"/>
        </w:rPr>
        <w:t>, co jest związane z większą liczebnie ogólną zbiorowością mieszkańców miast niż wsi.</w:t>
      </w:r>
      <w:r w:rsidR="00012D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Wśród </w:t>
      </w:r>
      <w:r w:rsidR="00012D51">
        <w:rPr>
          <w:rFonts w:ascii="Times New Roman" w:hAnsi="Times New Roman" w:cs="Times New Roman"/>
          <w:sz w:val="24"/>
          <w:szCs w:val="24"/>
        </w:rPr>
        <w:t>mieszkańc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012D51">
        <w:rPr>
          <w:rFonts w:ascii="Times New Roman" w:hAnsi="Times New Roman" w:cs="Times New Roman"/>
          <w:sz w:val="24"/>
          <w:szCs w:val="24"/>
        </w:rPr>
        <w:t xml:space="preserve"> wsi </w:t>
      </w:r>
      <w:r>
        <w:rPr>
          <w:rFonts w:ascii="Times New Roman" w:hAnsi="Times New Roman" w:cs="Times New Roman"/>
          <w:sz w:val="24"/>
          <w:szCs w:val="24"/>
        </w:rPr>
        <w:t>osób o tym statusie było</w:t>
      </w:r>
      <w:r w:rsidR="00012D51">
        <w:rPr>
          <w:rFonts w:ascii="Times New Roman" w:hAnsi="Times New Roman" w:cs="Times New Roman"/>
          <w:sz w:val="24"/>
          <w:szCs w:val="24"/>
        </w:rPr>
        <w:t xml:space="preserve"> 172,6 </w:t>
      </w:r>
      <w:r w:rsidR="002C6959">
        <w:rPr>
          <w:rFonts w:ascii="Times New Roman" w:hAnsi="Times New Roman" w:cs="Times New Roman"/>
          <w:sz w:val="24"/>
          <w:szCs w:val="24"/>
        </w:rPr>
        <w:t>tys. tj. 34,7%.</w:t>
      </w:r>
      <w:r w:rsidR="00BA0DE1">
        <w:rPr>
          <w:rFonts w:ascii="Times New Roman" w:hAnsi="Times New Roman" w:cs="Times New Roman"/>
          <w:sz w:val="24"/>
          <w:szCs w:val="24"/>
        </w:rPr>
        <w:t xml:space="preserve"> </w:t>
      </w:r>
      <w:r w:rsidR="00411AD5">
        <w:rPr>
          <w:rFonts w:ascii="Times New Roman" w:hAnsi="Times New Roman" w:cs="Times New Roman"/>
          <w:sz w:val="24"/>
          <w:szCs w:val="24"/>
        </w:rPr>
        <w:t>Większość długotrwale bezrobotnych, zarówno wśród mieszkańców miast,</w:t>
      </w:r>
      <w:r w:rsidR="00A730B1">
        <w:rPr>
          <w:rFonts w:ascii="Times New Roman" w:hAnsi="Times New Roman" w:cs="Times New Roman"/>
          <w:sz w:val="24"/>
          <w:szCs w:val="24"/>
        </w:rPr>
        <w:t xml:space="preserve"> jak i wsi stanowili mężczyźni. 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W miastach długotrwale bezrobotnych mężczyzn było </w:t>
      </w:r>
      <w:r w:rsidR="00865396" w:rsidRPr="00FD0BA2">
        <w:rPr>
          <w:rFonts w:ascii="Times New Roman" w:hAnsi="Times New Roman" w:cs="Times New Roman"/>
          <w:sz w:val="24"/>
          <w:szCs w:val="24"/>
        </w:rPr>
        <w:t>171,8 tys.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 wobec </w:t>
      </w:r>
      <w:r w:rsidR="00865396" w:rsidRPr="00FD0BA2">
        <w:rPr>
          <w:rFonts w:ascii="Times New Roman" w:hAnsi="Times New Roman" w:cs="Times New Roman"/>
          <w:sz w:val="24"/>
          <w:szCs w:val="24"/>
        </w:rPr>
        <w:t>153,6 tys.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 długotrwale bezrobotnych kobiet. Na wsi natomiast długotrwale bezrobotnych mężczyzn było </w:t>
      </w:r>
      <w:r w:rsidR="00865396" w:rsidRPr="00FD0BA2">
        <w:rPr>
          <w:rFonts w:ascii="Times New Roman" w:hAnsi="Times New Roman" w:cs="Times New Roman"/>
          <w:sz w:val="24"/>
          <w:szCs w:val="24"/>
        </w:rPr>
        <w:t>88,9 tys.</w:t>
      </w:r>
      <w:r w:rsidR="005D7478" w:rsidRPr="00FD0BA2">
        <w:rPr>
          <w:rFonts w:ascii="Times New Roman" w:hAnsi="Times New Roman" w:cs="Times New Roman"/>
          <w:sz w:val="24"/>
          <w:szCs w:val="24"/>
        </w:rPr>
        <w:t xml:space="preserve"> 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wobec </w:t>
      </w:r>
      <w:r w:rsidR="005D7478" w:rsidRPr="00FD0BA2">
        <w:rPr>
          <w:rFonts w:ascii="Times New Roman" w:hAnsi="Times New Roman" w:cs="Times New Roman"/>
          <w:sz w:val="24"/>
          <w:szCs w:val="24"/>
        </w:rPr>
        <w:t>83,7 tys.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 długotrwale bezrobotnych kobiet. Stopa bezrobocia długotrwałego wśród mężczyzn w miastach wyniosła </w:t>
      </w:r>
      <w:r w:rsidR="003D0E7C" w:rsidRPr="00FD0BA2">
        <w:rPr>
          <w:rFonts w:ascii="Times New Roman" w:hAnsi="Times New Roman" w:cs="Times New Roman"/>
          <w:sz w:val="24"/>
          <w:szCs w:val="24"/>
        </w:rPr>
        <w:t>3,1% i była wyższa od stopy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 bezrobocia długotrwałego </w:t>
      </w:r>
      <w:r w:rsidR="003D0E7C" w:rsidRPr="00FD0BA2">
        <w:rPr>
          <w:rFonts w:ascii="Times New Roman" w:hAnsi="Times New Roman" w:cs="Times New Roman"/>
          <w:sz w:val="24"/>
          <w:szCs w:val="24"/>
        </w:rPr>
        <w:t xml:space="preserve">mężczyzn 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na wsi wynoszącej </w:t>
      </w:r>
      <w:r w:rsidR="003D0E7C" w:rsidRPr="00FD0BA2">
        <w:rPr>
          <w:rFonts w:ascii="Times New Roman" w:hAnsi="Times New Roman" w:cs="Times New Roman"/>
          <w:sz w:val="24"/>
          <w:szCs w:val="24"/>
        </w:rPr>
        <w:t>2,3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%. </w:t>
      </w:r>
      <w:r w:rsidR="00FD0BA2">
        <w:rPr>
          <w:rFonts w:ascii="Times New Roman" w:hAnsi="Times New Roman" w:cs="Times New Roman"/>
          <w:sz w:val="24"/>
          <w:szCs w:val="24"/>
        </w:rPr>
        <w:t>Z kolei s</w:t>
      </w:r>
      <w:r w:rsidR="00A730B1" w:rsidRPr="00FD0BA2">
        <w:rPr>
          <w:rFonts w:ascii="Times New Roman" w:hAnsi="Times New Roman" w:cs="Times New Roman"/>
          <w:sz w:val="24"/>
          <w:szCs w:val="24"/>
        </w:rPr>
        <w:t>topa bezroboc</w:t>
      </w:r>
      <w:r w:rsidR="00FD0BA2">
        <w:rPr>
          <w:rFonts w:ascii="Times New Roman" w:hAnsi="Times New Roman" w:cs="Times New Roman"/>
          <w:sz w:val="24"/>
          <w:szCs w:val="24"/>
        </w:rPr>
        <w:t>ia długotrwałego wśród kobiet w 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miastach wyniosła </w:t>
      </w:r>
      <w:r w:rsidR="003D0E7C" w:rsidRPr="00FD0BA2">
        <w:rPr>
          <w:rFonts w:ascii="Times New Roman" w:hAnsi="Times New Roman" w:cs="Times New Roman"/>
          <w:sz w:val="24"/>
          <w:szCs w:val="24"/>
        </w:rPr>
        <w:t>3,2% i była wyższa od stopy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 bezrobocia długotrwałego </w:t>
      </w:r>
      <w:r w:rsidR="003D0E7C" w:rsidRPr="00FD0BA2">
        <w:rPr>
          <w:rFonts w:ascii="Times New Roman" w:hAnsi="Times New Roman" w:cs="Times New Roman"/>
          <w:sz w:val="24"/>
          <w:szCs w:val="24"/>
        </w:rPr>
        <w:t xml:space="preserve">kobiet </w:t>
      </w:r>
      <w:r w:rsidR="00A730B1" w:rsidRPr="00FD0BA2">
        <w:rPr>
          <w:rFonts w:ascii="Times New Roman" w:hAnsi="Times New Roman" w:cs="Times New Roman"/>
          <w:sz w:val="24"/>
          <w:szCs w:val="24"/>
        </w:rPr>
        <w:t xml:space="preserve">na wsi wynoszącej </w:t>
      </w:r>
      <w:r w:rsidR="003D0E7C" w:rsidRPr="00FD0BA2">
        <w:rPr>
          <w:rFonts w:ascii="Times New Roman" w:hAnsi="Times New Roman" w:cs="Times New Roman"/>
          <w:sz w:val="24"/>
          <w:szCs w:val="24"/>
        </w:rPr>
        <w:t>2,9</w:t>
      </w:r>
      <w:r w:rsidR="00A730B1" w:rsidRPr="00FD0BA2">
        <w:rPr>
          <w:rFonts w:ascii="Times New Roman" w:hAnsi="Times New Roman" w:cs="Times New Roman"/>
          <w:sz w:val="24"/>
          <w:szCs w:val="24"/>
        </w:rPr>
        <w:t>%.</w:t>
      </w:r>
      <w:r w:rsidR="00A73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AD5" w:rsidRPr="00773114" w:rsidRDefault="00773114" w:rsidP="00C62680">
      <w:pPr>
        <w:pStyle w:val="Legenda"/>
        <w:spacing w:before="120"/>
        <w:rPr>
          <w:rFonts w:ascii="Times New Roman" w:hAnsi="Times New Roman" w:cs="Times New Roman"/>
          <w:color w:val="auto"/>
          <w:sz w:val="20"/>
          <w:szCs w:val="20"/>
        </w:rPr>
      </w:pPr>
      <w:r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3.1</w:t>
      </w:r>
      <w:r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411AD5"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 Bezrobotni według płci i województw</w:t>
      </w:r>
    </w:p>
    <w:tbl>
      <w:tblPr>
        <w:tblStyle w:val="Tabela-Siatka"/>
        <w:tblW w:w="0" w:type="auto"/>
        <w:tblInd w:w="108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2268"/>
        <w:gridCol w:w="1701"/>
        <w:gridCol w:w="1701"/>
        <w:gridCol w:w="1701"/>
        <w:gridCol w:w="1701"/>
      </w:tblGrid>
      <w:tr w:rsidR="00411AD5" w:rsidTr="000F50C6">
        <w:trPr>
          <w:trHeight w:val="353"/>
        </w:trPr>
        <w:tc>
          <w:tcPr>
            <w:tcW w:w="2268" w:type="dxa"/>
            <w:vMerge w:val="restart"/>
            <w:vAlign w:val="center"/>
          </w:tcPr>
          <w:p w:rsidR="00411AD5" w:rsidRPr="00815385" w:rsidRDefault="00411AD5" w:rsidP="000F5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701" w:type="dxa"/>
            <w:vMerge w:val="restart"/>
            <w:vAlign w:val="center"/>
          </w:tcPr>
          <w:p w:rsidR="00411AD5" w:rsidRPr="00815385" w:rsidRDefault="00411AD5" w:rsidP="0044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sz w:val="20"/>
                <w:szCs w:val="20"/>
              </w:rPr>
              <w:t>Bezrobotni ogółem</w:t>
            </w:r>
          </w:p>
        </w:tc>
        <w:tc>
          <w:tcPr>
            <w:tcW w:w="5103" w:type="dxa"/>
            <w:gridSpan w:val="3"/>
            <w:vAlign w:val="center"/>
          </w:tcPr>
          <w:p w:rsidR="00411AD5" w:rsidRPr="00815385" w:rsidRDefault="00411AD5" w:rsidP="0044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sz w:val="20"/>
                <w:szCs w:val="20"/>
              </w:rPr>
              <w:t>Długotrwale bezrobotni</w:t>
            </w:r>
          </w:p>
        </w:tc>
      </w:tr>
      <w:tr w:rsidR="00411AD5" w:rsidTr="008F7A36">
        <w:trPr>
          <w:trHeight w:val="416"/>
        </w:trPr>
        <w:tc>
          <w:tcPr>
            <w:tcW w:w="2268" w:type="dxa"/>
            <w:vMerge/>
          </w:tcPr>
          <w:p w:rsidR="00411AD5" w:rsidRPr="00815385" w:rsidRDefault="00411AD5" w:rsidP="00411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11AD5" w:rsidRPr="00815385" w:rsidRDefault="00411AD5" w:rsidP="0044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11AD5" w:rsidRPr="00815385" w:rsidRDefault="00096DAD" w:rsidP="0009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11AD5" w:rsidRPr="00815385">
              <w:rPr>
                <w:rFonts w:ascii="Times New Roman" w:hAnsi="Times New Roman" w:cs="Times New Roman"/>
                <w:sz w:val="20"/>
                <w:szCs w:val="20"/>
              </w:rPr>
              <w:t>gółem</w:t>
            </w:r>
          </w:p>
        </w:tc>
        <w:tc>
          <w:tcPr>
            <w:tcW w:w="1701" w:type="dxa"/>
            <w:vAlign w:val="center"/>
          </w:tcPr>
          <w:p w:rsidR="00411AD5" w:rsidRPr="00815385" w:rsidRDefault="00096DAD" w:rsidP="0009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11AD5" w:rsidRPr="00815385">
              <w:rPr>
                <w:rFonts w:ascii="Times New Roman" w:hAnsi="Times New Roman" w:cs="Times New Roman"/>
                <w:sz w:val="20"/>
                <w:szCs w:val="20"/>
              </w:rPr>
              <w:t>ężczyźni</w:t>
            </w:r>
          </w:p>
        </w:tc>
        <w:tc>
          <w:tcPr>
            <w:tcW w:w="1701" w:type="dxa"/>
            <w:vAlign w:val="center"/>
          </w:tcPr>
          <w:p w:rsidR="00411AD5" w:rsidRPr="00815385" w:rsidRDefault="00096DAD" w:rsidP="0009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11AD5" w:rsidRPr="00815385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</w:p>
        </w:tc>
      </w:tr>
      <w:tr w:rsidR="00411AD5" w:rsidTr="008F7A36">
        <w:tc>
          <w:tcPr>
            <w:tcW w:w="2268" w:type="dxa"/>
            <w:vMerge/>
          </w:tcPr>
          <w:p w:rsidR="00411AD5" w:rsidRPr="00815385" w:rsidRDefault="00411AD5" w:rsidP="00411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4"/>
            <w:vAlign w:val="center"/>
          </w:tcPr>
          <w:p w:rsidR="00411AD5" w:rsidRPr="00815385" w:rsidRDefault="00411AD5" w:rsidP="0044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sz w:val="20"/>
                <w:szCs w:val="20"/>
              </w:rPr>
              <w:t>w tys.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11AD5" w:rsidRPr="003904A8" w:rsidRDefault="00411AD5" w:rsidP="004407E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04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2050,1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11AD5" w:rsidRPr="003904A8" w:rsidRDefault="00411AD5" w:rsidP="004407E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04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11AD5" w:rsidRPr="003904A8" w:rsidRDefault="00411AD5" w:rsidP="004407E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04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260,6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11AD5" w:rsidRPr="003904A8" w:rsidRDefault="00411AD5" w:rsidP="004407E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04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237,3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Dolnośląskie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Kujawsko-pomorskie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Lubelskie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Lubuskie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Małopolskie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Mazowieckie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23,9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Opolskie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Podkarpackie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18,6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Podlaskie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Pomorskie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Śląskie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228,2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Świętokrzyskie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Warmińsko-mazurskie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Wielkopolskie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411AD5" w:rsidTr="008F7A36">
        <w:trPr>
          <w:trHeight w:val="397"/>
        </w:trPr>
        <w:tc>
          <w:tcPr>
            <w:tcW w:w="2268" w:type="dxa"/>
            <w:tcBorders>
              <w:top w:val="nil"/>
            </w:tcBorders>
            <w:vAlign w:val="bottom"/>
          </w:tcPr>
          <w:p w:rsidR="00411AD5" w:rsidRPr="00815385" w:rsidRDefault="00411AD5" w:rsidP="00411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15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Zachodniopomorskie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11AD5" w:rsidRPr="00815385" w:rsidRDefault="00411AD5" w:rsidP="004407E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</w:tr>
    </w:tbl>
    <w:p w:rsidR="00C06713" w:rsidRDefault="00C06713" w:rsidP="009C68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D0BA2" w:rsidRDefault="00FD0BA2" w:rsidP="00C6268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Największy udział mężczyzn</w:t>
      </w:r>
      <w:r w:rsidRPr="00F72DD4">
        <w:t xml:space="preserve"> </w:t>
      </w:r>
      <w:r w:rsidRPr="00F72DD4">
        <w:rPr>
          <w:rFonts w:ascii="Times New Roman" w:hAnsi="Times New Roman" w:cs="Times New Roman"/>
          <w:sz w:val="24"/>
          <w:szCs w:val="24"/>
        </w:rPr>
        <w:t>długotrwale bezrobotnych w bezrobotnych ogółem</w:t>
      </w:r>
      <w:r>
        <w:rPr>
          <w:rFonts w:ascii="Times New Roman" w:hAnsi="Times New Roman" w:cs="Times New Roman"/>
          <w:sz w:val="24"/>
          <w:szCs w:val="24"/>
        </w:rPr>
        <w:t xml:space="preserve"> wystąpił w województwach: mazowieckim (56,9%) oraz podlaskim i zachodniopomorskim (po 56,5%). Najwyższy udział kobiet </w:t>
      </w:r>
      <w:r w:rsidRPr="00F72DD4">
        <w:rPr>
          <w:rFonts w:ascii="Times New Roman" w:hAnsi="Times New Roman" w:cs="Times New Roman"/>
          <w:sz w:val="24"/>
          <w:szCs w:val="24"/>
        </w:rPr>
        <w:t xml:space="preserve">długotrwale bezrobotnych w bezrobotnych ogółem </w:t>
      </w:r>
      <w:r>
        <w:rPr>
          <w:rFonts w:ascii="Times New Roman" w:hAnsi="Times New Roman" w:cs="Times New Roman"/>
          <w:sz w:val="24"/>
          <w:szCs w:val="24"/>
        </w:rPr>
        <w:t xml:space="preserve">wystąpił w województwach: wielkopolskim (53,2%) i kujawsko-pomorskim (52,4%).  </w:t>
      </w:r>
    </w:p>
    <w:p w:rsidR="00C06713" w:rsidRPr="00773114" w:rsidRDefault="00773114" w:rsidP="00C62680">
      <w:pPr>
        <w:pStyle w:val="Legenda"/>
        <w:spacing w:before="120"/>
        <w:rPr>
          <w:rFonts w:ascii="Times New Roman" w:hAnsi="Times New Roman" w:cs="Times New Roman"/>
          <w:color w:val="auto"/>
          <w:sz w:val="20"/>
          <w:szCs w:val="20"/>
        </w:rPr>
      </w:pPr>
      <w:r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Wykres 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3.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9116CA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C06713" w:rsidRPr="00773114">
        <w:rPr>
          <w:rFonts w:ascii="Times New Roman" w:hAnsi="Times New Roman" w:cs="Times New Roman"/>
          <w:color w:val="auto"/>
          <w:sz w:val="20"/>
          <w:szCs w:val="20"/>
        </w:rPr>
        <w:t xml:space="preserve"> Udział długotrwale bezrobotnych w bezrobo</w:t>
      </w:r>
      <w:r w:rsidR="004103B6">
        <w:rPr>
          <w:rFonts w:ascii="Times New Roman" w:hAnsi="Times New Roman" w:cs="Times New Roman"/>
          <w:color w:val="auto"/>
          <w:sz w:val="20"/>
          <w:szCs w:val="20"/>
        </w:rPr>
        <w:t>tnych ogółem według województw</w:t>
      </w:r>
    </w:p>
    <w:p w:rsidR="00C06713" w:rsidRDefault="00C06713" w:rsidP="00C0671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713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810250" cy="3429000"/>
            <wp:effectExtent l="0" t="0" r="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E7EE9" w:rsidRDefault="00C65510" w:rsidP="00C626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Wśród 498,0 tys. długotrwale bezrobotnych najwięcej było osób w</w:t>
      </w:r>
      <w:r w:rsidR="00430745">
        <w:rPr>
          <w:rFonts w:ascii="Times New Roman" w:hAnsi="Times New Roman" w:cs="Times New Roman"/>
          <w:sz w:val="24"/>
          <w:szCs w:val="24"/>
        </w:rPr>
        <w:t xml:space="preserve"> wieku 45-54  lata – 139,2 tys.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1DE">
        <w:rPr>
          <w:rFonts w:ascii="Times New Roman" w:hAnsi="Times New Roman" w:cs="Times New Roman"/>
          <w:sz w:val="24"/>
          <w:szCs w:val="24"/>
        </w:rPr>
        <w:t>Dotyczyło to zarówno zbiorowości</w:t>
      </w:r>
      <w:r w:rsidR="004C0A28">
        <w:rPr>
          <w:rFonts w:ascii="Times New Roman" w:hAnsi="Times New Roman" w:cs="Times New Roman"/>
          <w:sz w:val="24"/>
          <w:szCs w:val="24"/>
        </w:rPr>
        <w:t xml:space="preserve"> mężczyzn, jak i kobiet tj. </w:t>
      </w:r>
      <w:r w:rsidR="009116CA">
        <w:rPr>
          <w:rFonts w:ascii="Times New Roman" w:hAnsi="Times New Roman" w:cs="Times New Roman"/>
          <w:sz w:val="24"/>
          <w:szCs w:val="24"/>
        </w:rPr>
        <w:t>odpowiednio 67,5</w:t>
      </w:r>
      <w:r w:rsidR="001C207D">
        <w:rPr>
          <w:rFonts w:ascii="Times New Roman" w:hAnsi="Times New Roman" w:cs="Times New Roman"/>
          <w:sz w:val="24"/>
          <w:szCs w:val="24"/>
        </w:rPr>
        <w:t> </w:t>
      </w:r>
      <w:r w:rsidR="009116CA">
        <w:rPr>
          <w:rFonts w:ascii="Times New Roman" w:hAnsi="Times New Roman" w:cs="Times New Roman"/>
          <w:sz w:val="24"/>
          <w:szCs w:val="24"/>
        </w:rPr>
        <w:t>tys., 71,7 </w:t>
      </w:r>
      <w:r w:rsidR="00430745">
        <w:rPr>
          <w:rFonts w:ascii="Times New Roman" w:hAnsi="Times New Roman" w:cs="Times New Roman"/>
          <w:sz w:val="24"/>
          <w:szCs w:val="24"/>
        </w:rPr>
        <w:t xml:space="preserve">tys. osób. </w:t>
      </w:r>
      <w:r>
        <w:rPr>
          <w:rFonts w:ascii="Times New Roman" w:hAnsi="Times New Roman" w:cs="Times New Roman"/>
          <w:sz w:val="24"/>
          <w:szCs w:val="24"/>
        </w:rPr>
        <w:t>Kolejną co do wielkości</w:t>
      </w:r>
      <w:r w:rsidR="00430745">
        <w:rPr>
          <w:rFonts w:ascii="Times New Roman" w:hAnsi="Times New Roman" w:cs="Times New Roman"/>
          <w:sz w:val="24"/>
          <w:szCs w:val="24"/>
        </w:rPr>
        <w:t xml:space="preserve"> grup</w:t>
      </w:r>
      <w:r w:rsidR="00F9377D">
        <w:rPr>
          <w:rFonts w:ascii="Times New Roman" w:hAnsi="Times New Roman" w:cs="Times New Roman"/>
          <w:sz w:val="24"/>
          <w:szCs w:val="24"/>
        </w:rPr>
        <w:t>ę</w:t>
      </w:r>
      <w:r w:rsidR="00430745">
        <w:rPr>
          <w:rFonts w:ascii="Times New Roman" w:hAnsi="Times New Roman" w:cs="Times New Roman"/>
          <w:sz w:val="24"/>
          <w:szCs w:val="24"/>
        </w:rPr>
        <w:t>, w której liczba długotrwale bezrobotnych była najwyższa, stanowiła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745">
        <w:rPr>
          <w:rFonts w:ascii="Times New Roman" w:hAnsi="Times New Roman" w:cs="Times New Roman"/>
          <w:sz w:val="24"/>
          <w:szCs w:val="24"/>
        </w:rPr>
        <w:t xml:space="preserve">grupa </w:t>
      </w:r>
      <w:r>
        <w:rPr>
          <w:rFonts w:ascii="Times New Roman" w:hAnsi="Times New Roman" w:cs="Times New Roman"/>
          <w:sz w:val="24"/>
          <w:szCs w:val="24"/>
        </w:rPr>
        <w:t>os</w:t>
      </w:r>
      <w:r w:rsidR="00430745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 xml:space="preserve">b </w:t>
      </w:r>
      <w:r w:rsidR="00012D51">
        <w:rPr>
          <w:rFonts w:ascii="Times New Roman" w:hAnsi="Times New Roman" w:cs="Times New Roman"/>
          <w:sz w:val="24"/>
          <w:szCs w:val="24"/>
        </w:rPr>
        <w:t>w wieku 25-34 lata – 119,4 tys.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745">
        <w:rPr>
          <w:rFonts w:ascii="Times New Roman" w:hAnsi="Times New Roman" w:cs="Times New Roman"/>
          <w:sz w:val="24"/>
          <w:szCs w:val="24"/>
        </w:rPr>
        <w:t>Wśród p</w:t>
      </w:r>
      <w:r>
        <w:rPr>
          <w:rFonts w:ascii="Times New Roman" w:hAnsi="Times New Roman" w:cs="Times New Roman"/>
          <w:sz w:val="24"/>
          <w:szCs w:val="24"/>
        </w:rPr>
        <w:t>ozostał</w:t>
      </w:r>
      <w:r w:rsidR="00430745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grup wiekow</w:t>
      </w:r>
      <w:r w:rsidR="00430745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, tj. 35-44 lata, 55-64 lata, 15-24 lata oraz 65 lat i więcej </w:t>
      </w:r>
      <w:r w:rsidR="00430745">
        <w:rPr>
          <w:rFonts w:ascii="Times New Roman" w:hAnsi="Times New Roman" w:cs="Times New Roman"/>
          <w:sz w:val="24"/>
          <w:szCs w:val="24"/>
        </w:rPr>
        <w:t>długotrwale bezrobotnych było</w:t>
      </w:r>
      <w:r>
        <w:rPr>
          <w:rFonts w:ascii="Times New Roman" w:hAnsi="Times New Roman" w:cs="Times New Roman"/>
          <w:sz w:val="24"/>
          <w:szCs w:val="24"/>
        </w:rPr>
        <w:t xml:space="preserve"> 104,1 tys., 71,1 tys., 63,0 i 0,1 tys.</w:t>
      </w:r>
    </w:p>
    <w:p w:rsidR="00C65510" w:rsidRPr="009C68AC" w:rsidRDefault="009C68AC" w:rsidP="00C62680">
      <w:pPr>
        <w:pStyle w:val="Legenda"/>
        <w:spacing w:before="120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</w:t>
      </w:r>
      <w:r w:rsidR="00175509">
        <w:rPr>
          <w:rFonts w:ascii="Times New Roman" w:hAnsi="Times New Roman" w:cs="Times New Roman"/>
          <w:color w:val="auto"/>
          <w:sz w:val="20"/>
          <w:szCs w:val="20"/>
        </w:rPr>
        <w:t>2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Struktura długotrwale bezrobotnych</w:t>
      </w:r>
      <w:r w:rsidR="00C65510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według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grup wiekowych, płci i miejsca </w:t>
      </w:r>
      <w:r w:rsidR="00C65510" w:rsidRPr="009C68AC">
        <w:rPr>
          <w:rFonts w:ascii="Times New Roman" w:hAnsi="Times New Roman" w:cs="Times New Roman"/>
          <w:color w:val="auto"/>
          <w:sz w:val="20"/>
          <w:szCs w:val="20"/>
        </w:rPr>
        <w:t>zamieszkania</w:t>
      </w:r>
    </w:p>
    <w:tbl>
      <w:tblPr>
        <w:tblW w:w="90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38"/>
        <w:gridCol w:w="1019"/>
        <w:gridCol w:w="1019"/>
        <w:gridCol w:w="1019"/>
        <w:gridCol w:w="1019"/>
        <w:gridCol w:w="1019"/>
        <w:gridCol w:w="1019"/>
        <w:gridCol w:w="934"/>
      </w:tblGrid>
      <w:tr w:rsidR="00C65510" w:rsidRPr="005B031C" w:rsidTr="009116CA">
        <w:trPr>
          <w:trHeight w:val="311"/>
        </w:trPr>
        <w:tc>
          <w:tcPr>
            <w:tcW w:w="20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15-24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25-34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35-44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45-54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55-64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5510" w:rsidRPr="005B031C" w:rsidRDefault="00C65510" w:rsidP="0053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65 lat </w:t>
            </w:r>
            <w:r w:rsidR="0055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 więcej</w:t>
            </w:r>
          </w:p>
        </w:tc>
      </w:tr>
      <w:tr w:rsidR="00C65510" w:rsidRPr="005B031C" w:rsidTr="009116CA">
        <w:trPr>
          <w:trHeight w:val="450"/>
        </w:trPr>
        <w:tc>
          <w:tcPr>
            <w:tcW w:w="20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65510" w:rsidRPr="005B031C" w:rsidTr="009116CA">
        <w:trPr>
          <w:trHeight w:val="428"/>
        </w:trPr>
        <w:tc>
          <w:tcPr>
            <w:tcW w:w="20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510" w:rsidRPr="005B031C" w:rsidRDefault="00C65510" w:rsidP="00683A4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</w:t>
            </w: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C65510" w:rsidRPr="00172D35" w:rsidTr="009116CA">
        <w:trPr>
          <w:trHeight w:val="340"/>
        </w:trPr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12,7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24,0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28,0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14,3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172D35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72D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</w:t>
            </w:r>
          </w:p>
        </w:tc>
      </w:tr>
      <w:tr w:rsidR="00C65510" w:rsidRPr="005B031C" w:rsidTr="009116CA">
        <w:trPr>
          <w:trHeight w:val="34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172D35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C65510"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Mężczyźni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17,9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C65510" w:rsidRPr="005B031C" w:rsidTr="009116CA">
        <w:trPr>
          <w:trHeight w:val="34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172D35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C65510"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Kobiety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10,3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</w:t>
            </w:r>
          </w:p>
        </w:tc>
      </w:tr>
      <w:tr w:rsidR="00C65510" w:rsidRPr="005B031C" w:rsidTr="009116CA">
        <w:trPr>
          <w:trHeight w:val="340"/>
        </w:trPr>
        <w:tc>
          <w:tcPr>
            <w:tcW w:w="20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Miasta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23,0</w:t>
            </w: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20,3</w:t>
            </w: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29,7</w:t>
            </w: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16,5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C65510" w:rsidRPr="005B031C" w:rsidTr="009116CA">
        <w:trPr>
          <w:trHeight w:val="340"/>
        </w:trPr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Wieś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25,9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24,7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510" w:rsidRPr="005B031C" w:rsidRDefault="00C65510" w:rsidP="00683A4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B0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0,1</w:t>
            </w:r>
          </w:p>
        </w:tc>
      </w:tr>
    </w:tbl>
    <w:p w:rsidR="0010133F" w:rsidRPr="0010133F" w:rsidRDefault="0010133F" w:rsidP="0010133F">
      <w:pPr>
        <w:spacing w:after="240" w:line="360" w:lineRule="auto"/>
        <w:jc w:val="both"/>
        <w:rPr>
          <w:rFonts w:ascii="Times New Roman" w:hAnsi="Times New Roman" w:cs="Times New Roman"/>
          <w:sz w:val="4"/>
          <w:szCs w:val="24"/>
        </w:rPr>
      </w:pPr>
    </w:p>
    <w:p w:rsidR="00EE7EE9" w:rsidRPr="00B45C07" w:rsidRDefault="00B45C07" w:rsidP="00DD066C">
      <w:pPr>
        <w:pStyle w:val="Legenda"/>
        <w:ind w:left="1276" w:hanging="127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B45C07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Wykres 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3.3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Pr="00B45C07">
        <w:rPr>
          <w:rFonts w:ascii="Times New Roman" w:hAnsi="Times New Roman" w:cs="Times New Roman"/>
          <w:color w:val="auto"/>
          <w:sz w:val="20"/>
          <w:szCs w:val="20"/>
        </w:rPr>
        <w:t>Liczba długotrwale bezrobotnych oraz udział długotrwale bezrobotnych w bezrobotnych ogół</w:t>
      </w:r>
      <w:r w:rsidR="004103B6">
        <w:rPr>
          <w:rFonts w:ascii="Times New Roman" w:hAnsi="Times New Roman" w:cs="Times New Roman"/>
          <w:color w:val="auto"/>
          <w:sz w:val="20"/>
          <w:szCs w:val="20"/>
        </w:rPr>
        <w:t>em według płci i grup wiekowych</w:t>
      </w:r>
    </w:p>
    <w:p w:rsidR="00CF4DED" w:rsidRDefault="00B45C07" w:rsidP="00B4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3129280</wp:posOffset>
            </wp:positionV>
            <wp:extent cx="5886450" cy="3086100"/>
            <wp:effectExtent l="0" t="0" r="0" b="0"/>
            <wp:wrapTight wrapText="bothSides">
              <wp:wrapPolygon edited="0">
                <wp:start x="1817" y="800"/>
                <wp:lineTo x="1887" y="2933"/>
                <wp:lineTo x="350" y="4800"/>
                <wp:lineTo x="419" y="16933"/>
                <wp:lineTo x="10765" y="17867"/>
                <wp:lineTo x="1678" y="18133"/>
                <wp:lineTo x="1678" y="18800"/>
                <wp:lineTo x="10765" y="20000"/>
                <wp:lineTo x="1748" y="20267"/>
                <wp:lineTo x="1608" y="20933"/>
                <wp:lineTo x="2027" y="20933"/>
                <wp:lineTo x="2377" y="20933"/>
                <wp:lineTo x="10695" y="20000"/>
                <wp:lineTo x="10765" y="17867"/>
                <wp:lineTo x="1468" y="15733"/>
                <wp:lineTo x="2517" y="14267"/>
                <wp:lineTo x="2517" y="13733"/>
                <wp:lineTo x="5732" y="13600"/>
                <wp:lineTo x="20761" y="12000"/>
                <wp:lineTo x="20761" y="11467"/>
                <wp:lineTo x="21460" y="9733"/>
                <wp:lineTo x="1608" y="9333"/>
                <wp:lineTo x="2517" y="7733"/>
                <wp:lineTo x="2517" y="7200"/>
                <wp:lineTo x="1608" y="7200"/>
                <wp:lineTo x="2586" y="5333"/>
                <wp:lineTo x="2586" y="800"/>
                <wp:lineTo x="1817" y="800"/>
              </wp:wrapPolygon>
            </wp:wrapTight>
            <wp:docPr id="13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138430</wp:posOffset>
            </wp:positionV>
            <wp:extent cx="5886450" cy="3086100"/>
            <wp:effectExtent l="0" t="0" r="0" b="0"/>
            <wp:wrapTight wrapText="bothSides">
              <wp:wrapPolygon edited="0">
                <wp:start x="1538" y="800"/>
                <wp:lineTo x="1538" y="1333"/>
                <wp:lineTo x="8738" y="2933"/>
                <wp:lineTo x="1188" y="2933"/>
                <wp:lineTo x="769" y="3600"/>
                <wp:lineTo x="769" y="17600"/>
                <wp:lineTo x="2307" y="17867"/>
                <wp:lineTo x="10765" y="17867"/>
                <wp:lineTo x="1678" y="19467"/>
                <wp:lineTo x="1678" y="20800"/>
                <wp:lineTo x="5033" y="20933"/>
                <wp:lineTo x="17406" y="20933"/>
                <wp:lineTo x="18035" y="20933"/>
                <wp:lineTo x="18175" y="20267"/>
                <wp:lineTo x="2447" y="20000"/>
                <wp:lineTo x="10765" y="17867"/>
                <wp:lineTo x="2447" y="17200"/>
                <wp:lineTo x="1258" y="15733"/>
                <wp:lineTo x="2447" y="15333"/>
                <wp:lineTo x="2447" y="14667"/>
                <wp:lineTo x="1258" y="13600"/>
                <wp:lineTo x="5592" y="13600"/>
                <wp:lineTo x="20761" y="12000"/>
                <wp:lineTo x="20761" y="11467"/>
                <wp:lineTo x="21460" y="9733"/>
                <wp:lineTo x="1258" y="9333"/>
                <wp:lineTo x="2447" y="8267"/>
                <wp:lineTo x="2447" y="7733"/>
                <wp:lineTo x="1258" y="7200"/>
                <wp:lineTo x="2447" y="6000"/>
                <wp:lineTo x="2447" y="5467"/>
                <wp:lineTo x="1258" y="5067"/>
                <wp:lineTo x="10695" y="2933"/>
                <wp:lineTo x="2517" y="800"/>
                <wp:lineTo x="1538" y="800"/>
              </wp:wrapPolygon>
            </wp:wrapTight>
            <wp:docPr id="1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1A4538" w:rsidRDefault="001A4538" w:rsidP="00B4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538" w:rsidRDefault="001A4538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23A" w:rsidRDefault="0072323A" w:rsidP="001A4538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6CA" w:rsidRDefault="00B45C07" w:rsidP="00C62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długotrwale bezrobotne</w:t>
      </w:r>
      <w:r w:rsidRPr="000A15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w większości osoby będące w wieku produkcyjnym, które stanowią 99,5 %. Wśród długotrwale bezrobotnych w wieku produkcyjnym większość to osoby w wieku </w:t>
      </w:r>
      <w:r w:rsidRPr="00D839DA">
        <w:rPr>
          <w:rFonts w:ascii="Times New Roman" w:hAnsi="Times New Roman" w:cs="Times New Roman"/>
          <w:sz w:val="24"/>
          <w:szCs w:val="24"/>
        </w:rPr>
        <w:t xml:space="preserve">mobilnym </w:t>
      </w:r>
      <w:r w:rsidR="007E2DF0">
        <w:rPr>
          <w:rFonts w:ascii="Times New Roman" w:hAnsi="Times New Roman" w:cs="Times New Roman"/>
          <w:sz w:val="24"/>
          <w:szCs w:val="24"/>
        </w:rPr>
        <w:t>(</w:t>
      </w:r>
      <w:r w:rsidRPr="00D839DA">
        <w:rPr>
          <w:rFonts w:ascii="Times New Roman" w:hAnsi="Times New Roman" w:cs="Times New Roman"/>
          <w:color w:val="000000"/>
          <w:sz w:val="24"/>
          <w:szCs w:val="24"/>
        </w:rPr>
        <w:t>ludność w wieku 18</w:t>
      </w:r>
      <w:r w:rsidR="007E2DF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839DA">
        <w:rPr>
          <w:rFonts w:ascii="Times New Roman" w:hAnsi="Times New Roman" w:cs="Times New Roman"/>
          <w:color w:val="000000"/>
          <w:sz w:val="24"/>
          <w:szCs w:val="24"/>
        </w:rPr>
        <w:t>44 lata</w:t>
      </w:r>
      <w:r w:rsidR="007E2DF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839DA">
        <w:rPr>
          <w:rFonts w:ascii="Times New Roman" w:hAnsi="Times New Roman" w:cs="Times New Roman"/>
          <w:sz w:val="24"/>
          <w:szCs w:val="24"/>
        </w:rPr>
        <w:t xml:space="preserve"> zarówno według</w:t>
      </w:r>
      <w:r>
        <w:rPr>
          <w:rFonts w:ascii="Times New Roman" w:hAnsi="Times New Roman" w:cs="Times New Roman"/>
          <w:sz w:val="24"/>
          <w:szCs w:val="24"/>
        </w:rPr>
        <w:t xml:space="preserve"> miejsca zamieszkania jak i płci.</w:t>
      </w:r>
    </w:p>
    <w:p w:rsidR="009116CA" w:rsidRDefault="009116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E3491" w:rsidRPr="009C68AC" w:rsidRDefault="009C68AC" w:rsidP="00DD066C">
      <w:pPr>
        <w:pStyle w:val="Legenda"/>
        <w:ind w:left="1276" w:hanging="127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Wykres 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3.4</w:t>
      </w: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Struktura długotrwale bezrobotnych</w:t>
      </w:r>
      <w:r w:rsidR="001E3491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w wieku produkcyjnym według płci i</w:t>
      </w:r>
      <w:r w:rsidR="00EE7EE9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miejsca zamieszkania</w:t>
      </w:r>
    </w:p>
    <w:p w:rsidR="00EE7EE9" w:rsidRDefault="00EA2554" w:rsidP="0053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5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47975" cy="2743200"/>
            <wp:effectExtent l="1905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EA25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47975" cy="2743200"/>
            <wp:effectExtent l="19050" t="0" r="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62680" w:rsidRDefault="00C62680" w:rsidP="00C62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7EE9" w:rsidRPr="00411AD5" w:rsidRDefault="00D049D6" w:rsidP="00C62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11AD5" w:rsidRPr="00411AD5">
        <w:rPr>
          <w:rFonts w:ascii="Times New Roman" w:hAnsi="Times New Roman" w:cs="Times New Roman"/>
          <w:sz w:val="24"/>
          <w:szCs w:val="24"/>
        </w:rPr>
        <w:t xml:space="preserve">ajwiększą grupę </w:t>
      </w:r>
      <w:r>
        <w:rPr>
          <w:rFonts w:ascii="Times New Roman" w:hAnsi="Times New Roman" w:cs="Times New Roman"/>
          <w:sz w:val="24"/>
          <w:szCs w:val="24"/>
        </w:rPr>
        <w:t xml:space="preserve">długotrwale bezrobotnych </w:t>
      </w:r>
      <w:r w:rsidR="00411AD5" w:rsidRPr="00411AD5">
        <w:rPr>
          <w:rFonts w:ascii="Times New Roman" w:hAnsi="Times New Roman" w:cs="Times New Roman"/>
          <w:sz w:val="24"/>
          <w:szCs w:val="24"/>
        </w:rPr>
        <w:t>stanowiły osoby z wykształ</w:t>
      </w:r>
      <w:r w:rsidR="00EE7EE9">
        <w:rPr>
          <w:rFonts w:ascii="Times New Roman" w:hAnsi="Times New Roman" w:cs="Times New Roman"/>
          <w:sz w:val="24"/>
          <w:szCs w:val="24"/>
        </w:rPr>
        <w:t>ceniem zasadniczym zawodowym, a </w:t>
      </w:r>
      <w:r w:rsidR="00411AD5" w:rsidRPr="00411AD5">
        <w:rPr>
          <w:rFonts w:ascii="Times New Roman" w:hAnsi="Times New Roman" w:cs="Times New Roman"/>
          <w:sz w:val="24"/>
          <w:szCs w:val="24"/>
        </w:rPr>
        <w:t xml:space="preserve">najmniejszą osoby z wykształceniem wyższym (odpowiednio 35,7% i 9,9% ogółu długotrwale bezrobotnych). </w:t>
      </w:r>
      <w:r w:rsidRPr="00FE615A">
        <w:rPr>
          <w:rFonts w:ascii="Times New Roman" w:hAnsi="Times New Roman" w:cs="Times New Roman"/>
          <w:sz w:val="24"/>
          <w:szCs w:val="24"/>
        </w:rPr>
        <w:t>Identyczna</w:t>
      </w:r>
      <w:r w:rsidR="00411AD5" w:rsidRPr="00FE615A">
        <w:rPr>
          <w:rFonts w:ascii="Times New Roman" w:hAnsi="Times New Roman" w:cs="Times New Roman"/>
          <w:sz w:val="24"/>
          <w:szCs w:val="24"/>
        </w:rPr>
        <w:t xml:space="preserve"> sytuacja miała miejsce </w:t>
      </w:r>
      <w:r w:rsidRPr="00FE615A">
        <w:rPr>
          <w:rFonts w:ascii="Times New Roman" w:hAnsi="Times New Roman" w:cs="Times New Roman"/>
          <w:sz w:val="24"/>
          <w:szCs w:val="24"/>
        </w:rPr>
        <w:t>niezależnie od</w:t>
      </w:r>
      <w:r w:rsidR="00411AD5" w:rsidRPr="00FE615A">
        <w:rPr>
          <w:rFonts w:ascii="Times New Roman" w:hAnsi="Times New Roman" w:cs="Times New Roman"/>
          <w:sz w:val="24"/>
          <w:szCs w:val="24"/>
        </w:rPr>
        <w:t xml:space="preserve"> pł</w:t>
      </w:r>
      <w:r w:rsidRPr="00FE615A">
        <w:rPr>
          <w:rFonts w:ascii="Times New Roman" w:hAnsi="Times New Roman" w:cs="Times New Roman"/>
          <w:sz w:val="24"/>
          <w:szCs w:val="24"/>
        </w:rPr>
        <w:t>ci</w:t>
      </w:r>
      <w:r w:rsidR="00411AD5" w:rsidRPr="00FE615A">
        <w:rPr>
          <w:rFonts w:ascii="Times New Roman" w:hAnsi="Times New Roman" w:cs="Times New Roman"/>
          <w:sz w:val="24"/>
          <w:szCs w:val="24"/>
        </w:rPr>
        <w:t xml:space="preserve"> </w:t>
      </w:r>
      <w:r w:rsidR="007701DE" w:rsidRPr="00FE615A">
        <w:rPr>
          <w:rFonts w:ascii="Times New Roman" w:hAnsi="Times New Roman" w:cs="Times New Roman"/>
          <w:sz w:val="24"/>
          <w:szCs w:val="24"/>
        </w:rPr>
        <w:t>i miejsca</w:t>
      </w:r>
      <w:r w:rsidRPr="00FE615A">
        <w:rPr>
          <w:rFonts w:ascii="Times New Roman" w:hAnsi="Times New Roman" w:cs="Times New Roman"/>
          <w:sz w:val="24"/>
          <w:szCs w:val="24"/>
        </w:rPr>
        <w:t xml:space="preserve"> zamieszkania.</w:t>
      </w:r>
      <w:r w:rsidR="00411AD5" w:rsidRPr="00FE615A">
        <w:rPr>
          <w:rFonts w:ascii="Times New Roman" w:hAnsi="Times New Roman" w:cs="Times New Roman"/>
          <w:sz w:val="24"/>
          <w:szCs w:val="24"/>
        </w:rPr>
        <w:t xml:space="preserve"> </w:t>
      </w:r>
      <w:r w:rsidR="00411AD5" w:rsidRPr="00411AD5">
        <w:rPr>
          <w:rFonts w:ascii="Times New Roman" w:hAnsi="Times New Roman" w:cs="Times New Roman"/>
          <w:sz w:val="24"/>
          <w:szCs w:val="24"/>
        </w:rPr>
        <w:t>Według płci wykształcenie co najmniej średnie posiadało 53,1% kobiet oraz 36,3% mężczyzn, a według miejsca zamieszkania wykształcenie co najmniej średnie posiadało 49,0% mieszkańców miast oraz 35,3% mieszkańców wsi.</w:t>
      </w:r>
    </w:p>
    <w:p w:rsidR="00411AD5" w:rsidRPr="009C68AC" w:rsidRDefault="009C68AC" w:rsidP="00C62680">
      <w:pPr>
        <w:pStyle w:val="Legenda"/>
        <w:spacing w:before="120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3.3</w:t>
      </w:r>
      <w:r w:rsidR="00411AD5" w:rsidRPr="009C68AC">
        <w:rPr>
          <w:rFonts w:ascii="Times New Roman" w:hAnsi="Times New Roman" w:cs="Times New Roman"/>
          <w:color w:val="auto"/>
          <w:sz w:val="20"/>
          <w:szCs w:val="20"/>
        </w:rPr>
        <w:t>. Długotrwale bezrobotni według płci, miejsca zamieszkania oraz poziomu wykształcenia*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8"/>
        <w:gridCol w:w="1056"/>
        <w:gridCol w:w="1057"/>
        <w:gridCol w:w="1057"/>
        <w:gridCol w:w="1057"/>
        <w:gridCol w:w="1057"/>
      </w:tblGrid>
      <w:tr w:rsidR="00411AD5" w:rsidRPr="003F2F15" w:rsidTr="008F7A36">
        <w:trPr>
          <w:trHeight w:val="620"/>
        </w:trPr>
        <w:tc>
          <w:tcPr>
            <w:tcW w:w="378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Mężczyźni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Kobiety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Miasto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Wieś</w:t>
            </w:r>
          </w:p>
        </w:tc>
      </w:tr>
      <w:tr w:rsidR="00411AD5" w:rsidRPr="003F2F15" w:rsidTr="008F7A36">
        <w:trPr>
          <w:trHeight w:val="301"/>
        </w:trPr>
        <w:tc>
          <w:tcPr>
            <w:tcW w:w="37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1AD5" w:rsidRPr="006930F2" w:rsidRDefault="00411AD5" w:rsidP="00683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tys.</w:t>
            </w:r>
          </w:p>
        </w:tc>
      </w:tr>
      <w:tr w:rsidR="00411AD5" w:rsidRPr="003F2F15" w:rsidTr="008F7A36">
        <w:trPr>
          <w:trHeight w:val="340"/>
        </w:trPr>
        <w:tc>
          <w:tcPr>
            <w:tcW w:w="3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Wyższe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683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49,5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38,2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11,3</w:t>
            </w:r>
          </w:p>
        </w:tc>
      </w:tr>
      <w:tr w:rsidR="00411AD5" w:rsidRPr="003F2F15" w:rsidTr="008F7A36">
        <w:trPr>
          <w:trHeight w:val="340"/>
        </w:trPr>
        <w:tc>
          <w:tcPr>
            <w:tcW w:w="3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Policealne i średnie zawodowe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683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52,9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59,4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79,2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33,1</w:t>
            </w:r>
          </w:p>
        </w:tc>
      </w:tr>
      <w:tr w:rsidR="00411AD5" w:rsidRPr="003F2F15" w:rsidTr="008F7A36">
        <w:trPr>
          <w:trHeight w:val="340"/>
        </w:trPr>
        <w:tc>
          <w:tcPr>
            <w:tcW w:w="3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Średnie ogólnokształcące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683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37,4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42,2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16,5</w:t>
            </w:r>
          </w:p>
        </w:tc>
      </w:tr>
      <w:tr w:rsidR="00411AD5" w:rsidRPr="003F2F15" w:rsidTr="008F7A36">
        <w:trPr>
          <w:trHeight w:val="340"/>
        </w:trPr>
        <w:tc>
          <w:tcPr>
            <w:tcW w:w="3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Zasadnicze zawodowe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683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177,7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108,3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69,5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108,1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69,6</w:t>
            </w:r>
          </w:p>
        </w:tc>
      </w:tr>
      <w:tr w:rsidR="00411AD5" w:rsidRPr="003F2F15" w:rsidTr="008F7A36">
        <w:trPr>
          <w:trHeight w:val="340"/>
        </w:trPr>
        <w:tc>
          <w:tcPr>
            <w:tcW w:w="3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Gimnazjalne i niższe**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683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99,7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57,8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41,9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57,6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1AD5" w:rsidRPr="006930F2" w:rsidRDefault="00411AD5" w:rsidP="008F7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3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42,0</w:t>
            </w:r>
          </w:p>
        </w:tc>
      </w:tr>
    </w:tbl>
    <w:p w:rsidR="00411AD5" w:rsidRPr="00A535FB" w:rsidRDefault="00411AD5" w:rsidP="00C62680">
      <w:pPr>
        <w:spacing w:before="120" w:after="0"/>
        <w:jc w:val="both"/>
        <w:rPr>
          <w:rFonts w:ascii="Times New Roman" w:hAnsi="Times New Roman" w:cs="Times New Roman"/>
          <w:sz w:val="18"/>
          <w:szCs w:val="18"/>
        </w:rPr>
      </w:pPr>
      <w:r w:rsidRPr="00A535FB">
        <w:rPr>
          <w:rFonts w:ascii="Times New Roman" w:hAnsi="Times New Roman" w:cs="Times New Roman"/>
          <w:sz w:val="18"/>
          <w:szCs w:val="18"/>
        </w:rPr>
        <w:t>* w tabeli nie uwzględniono nieustalonego poziomu wykształcenia oraz nieustalonego okresu poszukiwania pracy</w:t>
      </w:r>
    </w:p>
    <w:p w:rsidR="00C65510" w:rsidRPr="00A535FB" w:rsidRDefault="00411AD5" w:rsidP="00411AD5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A535F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** łącznie z wykształceniem podstawowym nieukończonym i bez wykształcenia szkolnego</w:t>
      </w:r>
    </w:p>
    <w:p w:rsidR="00EE7EE9" w:rsidRPr="00411AD5" w:rsidRDefault="00EE7EE9" w:rsidP="00411AD5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411AD5" w:rsidRPr="00411AD5" w:rsidRDefault="00411AD5" w:rsidP="00C62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D5">
        <w:rPr>
          <w:rFonts w:ascii="Times New Roman" w:hAnsi="Times New Roman" w:cs="Times New Roman"/>
          <w:sz w:val="24"/>
          <w:szCs w:val="24"/>
        </w:rPr>
        <w:t>Długotrwale bezrobotni legitymowali się n</w:t>
      </w:r>
      <w:r w:rsidR="00EE7EE9">
        <w:rPr>
          <w:rFonts w:ascii="Times New Roman" w:hAnsi="Times New Roman" w:cs="Times New Roman"/>
          <w:sz w:val="24"/>
          <w:szCs w:val="24"/>
        </w:rPr>
        <w:t>iższym poziomem wykształcenia w </w:t>
      </w:r>
      <w:r w:rsidRPr="00411AD5">
        <w:rPr>
          <w:rFonts w:ascii="Times New Roman" w:hAnsi="Times New Roman" w:cs="Times New Roman"/>
          <w:sz w:val="24"/>
          <w:szCs w:val="24"/>
        </w:rPr>
        <w:t>porównaniu do ogółu bezrobotnych. C</w:t>
      </w:r>
      <w:r w:rsidR="007701DE">
        <w:rPr>
          <w:rFonts w:ascii="Times New Roman" w:hAnsi="Times New Roman" w:cs="Times New Roman"/>
          <w:sz w:val="24"/>
          <w:szCs w:val="24"/>
        </w:rPr>
        <w:t>o najmniej średnie wykształcenie</w:t>
      </w:r>
      <w:r w:rsidRPr="00411AD5">
        <w:rPr>
          <w:rFonts w:ascii="Times New Roman" w:hAnsi="Times New Roman" w:cs="Times New Roman"/>
          <w:sz w:val="24"/>
          <w:szCs w:val="24"/>
        </w:rPr>
        <w:t xml:space="preserve"> posiadało 44,3% długotrwale bezrobotnych</w:t>
      </w:r>
      <w:r w:rsidR="00C646D8">
        <w:rPr>
          <w:rFonts w:ascii="Times New Roman" w:hAnsi="Times New Roman" w:cs="Times New Roman"/>
          <w:sz w:val="24"/>
          <w:szCs w:val="24"/>
        </w:rPr>
        <w:t>,</w:t>
      </w:r>
      <w:r w:rsidRPr="00411AD5">
        <w:rPr>
          <w:rFonts w:ascii="Times New Roman" w:hAnsi="Times New Roman" w:cs="Times New Roman"/>
          <w:sz w:val="24"/>
          <w:szCs w:val="24"/>
        </w:rPr>
        <w:t xml:space="preserve"> </w:t>
      </w:r>
      <w:r w:rsidR="00C646D8">
        <w:rPr>
          <w:rFonts w:ascii="Times New Roman" w:hAnsi="Times New Roman" w:cs="Times New Roman"/>
          <w:sz w:val="24"/>
          <w:szCs w:val="24"/>
        </w:rPr>
        <w:t>a wśród</w:t>
      </w:r>
      <w:r w:rsidR="00C646D8" w:rsidRPr="00C646D8">
        <w:rPr>
          <w:rFonts w:ascii="Times New Roman" w:hAnsi="Times New Roman" w:cs="Times New Roman"/>
          <w:sz w:val="24"/>
          <w:szCs w:val="24"/>
        </w:rPr>
        <w:t xml:space="preserve"> </w:t>
      </w:r>
      <w:r w:rsidR="00C646D8" w:rsidRPr="00196F4D">
        <w:rPr>
          <w:rFonts w:ascii="Times New Roman" w:hAnsi="Times New Roman" w:cs="Times New Roman"/>
          <w:sz w:val="24"/>
          <w:szCs w:val="24"/>
        </w:rPr>
        <w:t>ogółu bezrobotnych</w:t>
      </w:r>
      <w:r w:rsidR="00C646D8">
        <w:rPr>
          <w:rFonts w:ascii="Times New Roman" w:hAnsi="Times New Roman" w:cs="Times New Roman"/>
          <w:sz w:val="24"/>
          <w:szCs w:val="24"/>
        </w:rPr>
        <w:t xml:space="preserve"> </w:t>
      </w:r>
      <w:r w:rsidRPr="00196F4D">
        <w:rPr>
          <w:rFonts w:ascii="Times New Roman" w:hAnsi="Times New Roman" w:cs="Times New Roman"/>
          <w:sz w:val="24"/>
          <w:szCs w:val="24"/>
        </w:rPr>
        <w:t>51,1%</w:t>
      </w:r>
      <w:r w:rsidR="00EE7EE9" w:rsidRPr="00196F4D">
        <w:rPr>
          <w:rFonts w:ascii="Times New Roman" w:hAnsi="Times New Roman" w:cs="Times New Roman"/>
          <w:sz w:val="24"/>
          <w:szCs w:val="24"/>
        </w:rPr>
        <w:t>.</w:t>
      </w:r>
      <w:r w:rsidR="00EE7EE9">
        <w:rPr>
          <w:rFonts w:ascii="Times New Roman" w:hAnsi="Times New Roman" w:cs="Times New Roman"/>
          <w:sz w:val="24"/>
          <w:szCs w:val="24"/>
        </w:rPr>
        <w:t xml:space="preserve"> Stąd można wnioskować, że </w:t>
      </w:r>
      <w:r w:rsidRPr="00411AD5">
        <w:rPr>
          <w:rFonts w:ascii="Times New Roman" w:hAnsi="Times New Roman" w:cs="Times New Roman"/>
          <w:sz w:val="24"/>
          <w:szCs w:val="24"/>
        </w:rPr>
        <w:t xml:space="preserve">niższe wykształcenia sprzyja zjawisku długotrwałego bezrobocia. </w:t>
      </w:r>
    </w:p>
    <w:p w:rsidR="006930F2" w:rsidRDefault="006930F2" w:rsidP="009C68AC">
      <w:pPr>
        <w:pStyle w:val="Legenda"/>
        <w:rPr>
          <w:rFonts w:ascii="Times New Roman" w:hAnsi="Times New Roman" w:cs="Times New Roman"/>
          <w:color w:val="auto"/>
          <w:sz w:val="20"/>
          <w:szCs w:val="20"/>
        </w:rPr>
      </w:pPr>
    </w:p>
    <w:p w:rsidR="00411AD5" w:rsidRPr="009C68AC" w:rsidRDefault="009C68AC" w:rsidP="009C68AC">
      <w:pPr>
        <w:pStyle w:val="Legenda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Wykres 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.5</w:t>
      </w:r>
      <w:r w:rsidR="00411AD5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Struktura bezrobotnych</w:t>
      </w:r>
      <w:r w:rsidR="0010133F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411AD5" w:rsidRPr="009C68AC">
        <w:rPr>
          <w:rFonts w:ascii="Times New Roman" w:hAnsi="Times New Roman" w:cs="Times New Roman"/>
          <w:color w:val="auto"/>
          <w:sz w:val="20"/>
          <w:szCs w:val="20"/>
        </w:rPr>
        <w:t>według poziomu wykształcenia i okresu poszukiwania pracy*</w:t>
      </w:r>
    </w:p>
    <w:p w:rsidR="00411AD5" w:rsidRDefault="00411AD5" w:rsidP="00411AD5">
      <w:pPr>
        <w:jc w:val="both"/>
        <w:rPr>
          <w:rFonts w:ascii="Times New Roman" w:hAnsi="Times New Roman" w:cs="Times New Roman"/>
          <w:sz w:val="24"/>
          <w:szCs w:val="24"/>
        </w:rPr>
      </w:pPr>
      <w:r w:rsidRPr="00A8083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2847" cy="2392326"/>
            <wp:effectExtent l="0" t="0" r="0" b="0"/>
            <wp:docPr id="1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11AD5" w:rsidRPr="00A535FB" w:rsidRDefault="00411AD5" w:rsidP="00411AD5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A535FB">
        <w:rPr>
          <w:rFonts w:ascii="Times New Roman" w:hAnsi="Times New Roman" w:cs="Times New Roman"/>
          <w:sz w:val="18"/>
          <w:szCs w:val="18"/>
        </w:rPr>
        <w:t xml:space="preserve">* </w:t>
      </w:r>
      <w:r w:rsidR="00A3080B" w:rsidRPr="00A535FB">
        <w:rPr>
          <w:rFonts w:ascii="Times New Roman" w:hAnsi="Times New Roman" w:cs="Times New Roman"/>
          <w:sz w:val="18"/>
          <w:szCs w:val="18"/>
        </w:rPr>
        <w:t>na wykresie</w:t>
      </w:r>
      <w:r w:rsidRPr="00A535FB">
        <w:rPr>
          <w:rFonts w:ascii="Times New Roman" w:hAnsi="Times New Roman" w:cs="Times New Roman"/>
          <w:sz w:val="18"/>
          <w:szCs w:val="18"/>
        </w:rPr>
        <w:t xml:space="preserve"> nie uwzględniono nieustalonego poziomu wykształcenia oraz nieustalonego okresu poszukiwania pracy</w:t>
      </w:r>
    </w:p>
    <w:p w:rsidR="00C65510" w:rsidRPr="00A535FB" w:rsidRDefault="00411AD5" w:rsidP="00EE7EE9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A535F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** łącznie z wykształceniem podstawowym nieukończonym i bez wykształcenia szkolnego</w:t>
      </w:r>
    </w:p>
    <w:p w:rsidR="00EE7EE9" w:rsidRPr="00EE7EE9" w:rsidRDefault="00EE7EE9" w:rsidP="00EE7EE9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4B29ED" w:rsidRDefault="004B29ED" w:rsidP="001C20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5E5A" w:rsidRDefault="00945E5A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Rozpatrując liczbę bezrobotnych w stosunku do liczby ludności aktywnej zawodowo widać wyraźnie, że wraz ze wzrostem poziomu wykształcenie udział </w:t>
      </w:r>
      <w:r w:rsidR="00362ACC">
        <w:rPr>
          <w:rFonts w:ascii="Times New Roman" w:hAnsi="Times New Roman" w:cs="Times New Roman"/>
          <w:sz w:val="24"/>
          <w:szCs w:val="24"/>
        </w:rPr>
        <w:t>bezrobotnych długotrwale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ACC">
        <w:rPr>
          <w:rFonts w:ascii="Times New Roman" w:hAnsi="Times New Roman" w:cs="Times New Roman"/>
          <w:sz w:val="24"/>
          <w:szCs w:val="24"/>
        </w:rPr>
        <w:t xml:space="preserve">spada. </w:t>
      </w:r>
    </w:p>
    <w:p w:rsidR="002951AF" w:rsidRDefault="002951AF" w:rsidP="001C20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5E5A" w:rsidRPr="009C68AC" w:rsidRDefault="009C68AC" w:rsidP="00A535FB">
      <w:pPr>
        <w:pStyle w:val="Legenda"/>
        <w:ind w:left="1276" w:hanging="127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3.4</w:t>
      </w:r>
      <w:r w:rsidR="00945E5A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Stopa długotrwałego</w:t>
      </w:r>
      <w:r w:rsidR="00915793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bezrobocia</w:t>
      </w:r>
      <w:r w:rsidR="00945E5A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według płci, miejsca zamieszkania oraz poziomu wykształcenia*</w:t>
      </w:r>
    </w:p>
    <w:tbl>
      <w:tblPr>
        <w:tblW w:w="9089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34"/>
        <w:gridCol w:w="1271"/>
        <w:gridCol w:w="1271"/>
        <w:gridCol w:w="1271"/>
        <w:gridCol w:w="1271"/>
        <w:gridCol w:w="1271"/>
      </w:tblGrid>
      <w:tr w:rsidR="00945E5A" w:rsidRPr="00945E5A" w:rsidTr="008F7A36">
        <w:trPr>
          <w:trHeight w:val="280"/>
        </w:trPr>
        <w:tc>
          <w:tcPr>
            <w:tcW w:w="27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Mężczyźni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Kobiety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Miasto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Wieś</w:t>
            </w:r>
          </w:p>
        </w:tc>
      </w:tr>
      <w:tr w:rsidR="00945E5A" w:rsidRPr="00945E5A" w:rsidTr="008F7A36">
        <w:trPr>
          <w:trHeight w:val="280"/>
        </w:trPr>
        <w:tc>
          <w:tcPr>
            <w:tcW w:w="27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%</w:t>
            </w:r>
          </w:p>
        </w:tc>
      </w:tr>
      <w:tr w:rsidR="00945E5A" w:rsidRPr="00945E5A" w:rsidTr="008F7A36">
        <w:trPr>
          <w:trHeight w:val="340"/>
        </w:trPr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945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Wyższe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</w:tr>
      <w:tr w:rsidR="00945E5A" w:rsidRPr="00945E5A" w:rsidTr="008F7A36">
        <w:trPr>
          <w:trHeight w:val="340"/>
        </w:trPr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945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Policealne i średnie zawodowe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2,0</w:t>
            </w:r>
          </w:p>
        </w:tc>
      </w:tr>
      <w:tr w:rsidR="00945E5A" w:rsidRPr="00945E5A" w:rsidTr="008F7A36">
        <w:trPr>
          <w:trHeight w:val="340"/>
        </w:trPr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945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Średnie ogólnokształcące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2,4</w:t>
            </w:r>
          </w:p>
        </w:tc>
      </w:tr>
      <w:tr w:rsidR="00945E5A" w:rsidRPr="00945E5A" w:rsidTr="008F7A36">
        <w:trPr>
          <w:trHeight w:val="340"/>
        </w:trPr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945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Zasadnicze zawodowe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2,9</w:t>
            </w:r>
          </w:p>
        </w:tc>
      </w:tr>
      <w:tr w:rsidR="00945E5A" w:rsidRPr="00945E5A" w:rsidTr="008F7A36">
        <w:trPr>
          <w:trHeight w:val="340"/>
        </w:trPr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945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Gimnazjalne i niższe**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5A" w:rsidRPr="004B29ED" w:rsidRDefault="00945E5A" w:rsidP="00172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</w:tr>
    </w:tbl>
    <w:p w:rsidR="00945E5A" w:rsidRPr="00A535FB" w:rsidRDefault="00945E5A" w:rsidP="00F76118">
      <w:pPr>
        <w:spacing w:before="120" w:after="0"/>
        <w:jc w:val="both"/>
        <w:rPr>
          <w:rFonts w:ascii="Times New Roman" w:hAnsi="Times New Roman" w:cs="Times New Roman"/>
          <w:sz w:val="18"/>
          <w:szCs w:val="18"/>
        </w:rPr>
      </w:pPr>
      <w:r w:rsidRPr="00A535FB">
        <w:rPr>
          <w:rFonts w:ascii="Times New Roman" w:hAnsi="Times New Roman" w:cs="Times New Roman"/>
          <w:sz w:val="18"/>
          <w:szCs w:val="18"/>
        </w:rPr>
        <w:t>* w tabeli nie uwzględniono nieustalonego poziomu wykształcenia oraz nieustalonego okresu poszukiwania pracy</w:t>
      </w:r>
    </w:p>
    <w:p w:rsidR="00945E5A" w:rsidRPr="00A535FB" w:rsidRDefault="00945E5A" w:rsidP="00945E5A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A535F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** łącznie z wykształceniem podstawowym nieukończonym i bez wykształcenia szkolnego</w:t>
      </w:r>
    </w:p>
    <w:p w:rsidR="002951AF" w:rsidRPr="007630AA" w:rsidRDefault="00FD759B" w:rsidP="007630AA">
      <w:pPr>
        <w:spacing w:before="240" w:after="120"/>
        <w:ind w:left="567" w:hanging="567"/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</w:pPr>
      <w:r w:rsidRPr="007630AA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>3.2. Wpływ dotychczasowego doświadczenia z</w:t>
      </w:r>
      <w:r w:rsidR="004103B6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>awodowego na długość bezrobocia</w:t>
      </w:r>
    </w:p>
    <w:p w:rsidR="0030278B" w:rsidRDefault="00915793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0278B">
        <w:rPr>
          <w:rFonts w:ascii="Times New Roman" w:hAnsi="Times New Roman" w:cs="Times New Roman"/>
          <w:sz w:val="24"/>
          <w:szCs w:val="24"/>
        </w:rPr>
        <w:t>echami</w:t>
      </w:r>
      <w:r>
        <w:rPr>
          <w:rFonts w:ascii="Times New Roman" w:hAnsi="Times New Roman" w:cs="Times New Roman"/>
          <w:sz w:val="24"/>
          <w:szCs w:val="24"/>
        </w:rPr>
        <w:t>, które pozwalają scharakteryzować</w:t>
      </w:r>
      <w:r w:rsidR="0030278B">
        <w:rPr>
          <w:rFonts w:ascii="Times New Roman" w:hAnsi="Times New Roman" w:cs="Times New Roman"/>
          <w:sz w:val="24"/>
          <w:szCs w:val="24"/>
        </w:rPr>
        <w:t xml:space="preserve"> osoby długotrwale bezrobotne są doświadczenie zawodowe i okres pozostawania bez pracy. Wśród osób długotrwale bezrobotnych poprzednio pracowało </w:t>
      </w:r>
      <w:r w:rsidR="0030278B" w:rsidRPr="00E252D5">
        <w:rPr>
          <w:rFonts w:ascii="Times New Roman" w:hAnsi="Times New Roman" w:cs="Times New Roman"/>
          <w:sz w:val="24"/>
          <w:szCs w:val="24"/>
        </w:rPr>
        <w:t>357,3</w:t>
      </w:r>
      <w:r w:rsidR="0030278B">
        <w:rPr>
          <w:rFonts w:ascii="Times New Roman" w:hAnsi="Times New Roman" w:cs="Times New Roman"/>
          <w:sz w:val="24"/>
          <w:szCs w:val="24"/>
        </w:rPr>
        <w:t xml:space="preserve"> tys., tj. </w:t>
      </w:r>
      <w:r w:rsidR="0030278B" w:rsidRPr="00E252D5">
        <w:rPr>
          <w:rFonts w:ascii="Times New Roman" w:hAnsi="Times New Roman" w:cs="Times New Roman"/>
          <w:sz w:val="24"/>
          <w:szCs w:val="24"/>
        </w:rPr>
        <w:t>71,8</w:t>
      </w:r>
      <w:r w:rsidR="0030278B">
        <w:rPr>
          <w:rFonts w:ascii="Times New Roman" w:hAnsi="Times New Roman" w:cs="Times New Roman"/>
          <w:sz w:val="24"/>
          <w:szCs w:val="24"/>
        </w:rPr>
        <w:t xml:space="preserve">%, z tego </w:t>
      </w:r>
      <w:r w:rsidR="0030278B" w:rsidRPr="003D0103">
        <w:rPr>
          <w:rFonts w:ascii="Times New Roman" w:hAnsi="Times New Roman" w:cs="Times New Roman"/>
          <w:sz w:val="24"/>
          <w:szCs w:val="24"/>
        </w:rPr>
        <w:t>234,2</w:t>
      </w:r>
      <w:r w:rsidR="0030278B">
        <w:rPr>
          <w:rFonts w:ascii="Times New Roman" w:hAnsi="Times New Roman" w:cs="Times New Roman"/>
          <w:sz w:val="24"/>
          <w:szCs w:val="24"/>
        </w:rPr>
        <w:t xml:space="preserve"> tys. osób pracowało w okresie 8 lat poprzedzających badanie. Osób dotychczas niepracujących było natomiast </w:t>
      </w:r>
      <w:r w:rsidR="0030278B" w:rsidRPr="003D0103">
        <w:rPr>
          <w:rFonts w:ascii="Times New Roman" w:hAnsi="Times New Roman" w:cs="Times New Roman"/>
          <w:sz w:val="24"/>
          <w:szCs w:val="24"/>
        </w:rPr>
        <w:t>140,6</w:t>
      </w:r>
      <w:r w:rsidR="0030278B">
        <w:rPr>
          <w:rFonts w:ascii="Times New Roman" w:hAnsi="Times New Roman" w:cs="Times New Roman"/>
          <w:sz w:val="24"/>
          <w:szCs w:val="24"/>
        </w:rPr>
        <w:t xml:space="preserve"> tys., co stanowiło 28,2% ogółu długotrwale bezrobotnych. Wśród mężczyzn uprzednio </w:t>
      </w:r>
      <w:r w:rsidR="0030278B">
        <w:rPr>
          <w:rFonts w:ascii="Times New Roman" w:hAnsi="Times New Roman" w:cs="Times New Roman"/>
          <w:sz w:val="24"/>
          <w:szCs w:val="24"/>
        </w:rPr>
        <w:lastRenderedPageBreak/>
        <w:t xml:space="preserve">pracowało 72,5%, a wśród kobiet 70,9%. Dotychczas niepracujących było 27,5% mężczyzn i 29,1% kobiet. </w:t>
      </w:r>
      <w:r w:rsidR="00433080">
        <w:rPr>
          <w:rFonts w:ascii="Times New Roman" w:hAnsi="Times New Roman" w:cs="Times New Roman"/>
          <w:sz w:val="24"/>
          <w:szCs w:val="24"/>
        </w:rPr>
        <w:t>Spośród</w:t>
      </w:r>
      <w:r w:rsidR="0030278B">
        <w:rPr>
          <w:rFonts w:ascii="Times New Roman" w:hAnsi="Times New Roman" w:cs="Times New Roman"/>
          <w:sz w:val="24"/>
          <w:szCs w:val="24"/>
        </w:rPr>
        <w:t xml:space="preserve"> osób długotrwale bezrobotnych w miastach i na wsi uprzednio pracujących było </w:t>
      </w:r>
      <w:r w:rsidR="00433080">
        <w:rPr>
          <w:rFonts w:ascii="Times New Roman" w:hAnsi="Times New Roman" w:cs="Times New Roman"/>
          <w:sz w:val="24"/>
          <w:szCs w:val="24"/>
        </w:rPr>
        <w:t xml:space="preserve">odpowiednio </w:t>
      </w:r>
      <w:r w:rsidR="0030278B">
        <w:rPr>
          <w:rFonts w:ascii="Times New Roman" w:hAnsi="Times New Roman" w:cs="Times New Roman"/>
          <w:sz w:val="24"/>
          <w:szCs w:val="24"/>
        </w:rPr>
        <w:t>74,7% i 66,2%, a dotychczas niepracujących</w:t>
      </w:r>
      <w:r w:rsidR="00433080">
        <w:rPr>
          <w:rFonts w:ascii="Times New Roman" w:hAnsi="Times New Roman" w:cs="Times New Roman"/>
          <w:sz w:val="24"/>
          <w:szCs w:val="24"/>
        </w:rPr>
        <w:t xml:space="preserve"> odpowiednio</w:t>
      </w:r>
      <w:r w:rsidR="0030278B">
        <w:rPr>
          <w:rFonts w:ascii="Times New Roman" w:hAnsi="Times New Roman" w:cs="Times New Roman"/>
          <w:sz w:val="24"/>
          <w:szCs w:val="24"/>
        </w:rPr>
        <w:t xml:space="preserve"> 25,3% i 33,8%.</w:t>
      </w:r>
    </w:p>
    <w:p w:rsidR="002951AF" w:rsidRDefault="002951AF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6959">
        <w:rPr>
          <w:rFonts w:ascii="Times New Roman" w:hAnsi="Times New Roman" w:cs="Times New Roman"/>
          <w:sz w:val="24"/>
          <w:szCs w:val="24"/>
        </w:rPr>
        <w:t>Największy udział osób długotrwale bezrobotnych uprzednio pracujących wystąpił w grupie z wykształceniem zasadniczym zawodowym – 78,4% (wśród ogółu bezrobotnych uprzednio pracujących – 77,0%), a najmniejszy w grupie z wykształceniem średnim ogólnokształcącym – 62,3% (dla ogółu bezrobotnych uprzednio pracujących – 60,8%). Wśród długotrwale bezrobotnych uprzednio pracujących udział osób, które pracowały w ciągu 8 lat poprzedzających badanie był najwyższy w grupie osób z wykształceniem wyższym – 86,7% (94,9% odpowiednio dla bezrobotnych ogółem), a najniższy w grupie osób z wykształceniem gimnazjalnym i niższym – 54,1% (73,3% odpowiednio dla bezrobotnych ogółem).</w:t>
      </w:r>
    </w:p>
    <w:p w:rsidR="002951AF" w:rsidRDefault="001B7E6C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bezrobotnych ogółem i długotrwale bezrobotnych według grup wieku w podziale ze względu na </w:t>
      </w:r>
      <w:r w:rsidR="0030278B">
        <w:rPr>
          <w:rFonts w:ascii="Times New Roman" w:hAnsi="Times New Roman" w:cs="Times New Roman"/>
          <w:sz w:val="24"/>
          <w:szCs w:val="24"/>
        </w:rPr>
        <w:t>doświadcz</w:t>
      </w:r>
      <w:r>
        <w:rPr>
          <w:rFonts w:ascii="Times New Roman" w:hAnsi="Times New Roman" w:cs="Times New Roman"/>
          <w:sz w:val="24"/>
          <w:szCs w:val="24"/>
        </w:rPr>
        <w:t>enie</w:t>
      </w:r>
      <w:r w:rsidR="0065308A">
        <w:rPr>
          <w:rFonts w:ascii="Times New Roman" w:hAnsi="Times New Roman" w:cs="Times New Roman"/>
          <w:sz w:val="24"/>
          <w:szCs w:val="24"/>
        </w:rPr>
        <w:t xml:space="preserve"> zawodowe </w:t>
      </w:r>
      <w:r>
        <w:rPr>
          <w:rFonts w:ascii="Times New Roman" w:hAnsi="Times New Roman" w:cs="Times New Roman"/>
          <w:sz w:val="24"/>
          <w:szCs w:val="24"/>
        </w:rPr>
        <w:t>przedstawiona</w:t>
      </w:r>
      <w:r w:rsidR="0030278B">
        <w:rPr>
          <w:rFonts w:ascii="Times New Roman" w:hAnsi="Times New Roman" w:cs="Times New Roman"/>
          <w:sz w:val="24"/>
          <w:szCs w:val="24"/>
        </w:rPr>
        <w:t xml:space="preserve"> został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278B">
        <w:rPr>
          <w:rFonts w:ascii="Times New Roman" w:hAnsi="Times New Roman" w:cs="Times New Roman"/>
          <w:sz w:val="24"/>
          <w:szCs w:val="24"/>
        </w:rPr>
        <w:t xml:space="preserve"> na wykresie</w:t>
      </w:r>
      <w:r w:rsidR="006237B8">
        <w:rPr>
          <w:rFonts w:ascii="Times New Roman" w:hAnsi="Times New Roman" w:cs="Times New Roman"/>
          <w:sz w:val="24"/>
          <w:szCs w:val="24"/>
        </w:rPr>
        <w:t xml:space="preserve"> 5</w:t>
      </w:r>
      <w:r w:rsidR="0030278B">
        <w:rPr>
          <w:rFonts w:ascii="Times New Roman" w:hAnsi="Times New Roman" w:cs="Times New Roman"/>
          <w:sz w:val="24"/>
          <w:szCs w:val="24"/>
        </w:rPr>
        <w:t>.</w:t>
      </w:r>
    </w:p>
    <w:p w:rsidR="0030278B" w:rsidRPr="009C68AC" w:rsidRDefault="009C68AC" w:rsidP="00FD759B">
      <w:pPr>
        <w:pStyle w:val="Legenda"/>
        <w:spacing w:before="60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Wykres 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.6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65308A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Struktura 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>bezrobotnych według grup wieku</w:t>
      </w:r>
      <w:r w:rsidR="0065308A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i doświadczenia zawodowego</w:t>
      </w:r>
      <w:r w:rsidR="001B7E6C" w:rsidRPr="009C68AC">
        <w:rPr>
          <w:rFonts w:ascii="Times New Roman" w:hAnsi="Times New Roman" w:cs="Times New Roman"/>
          <w:color w:val="auto"/>
          <w:sz w:val="20"/>
          <w:szCs w:val="20"/>
        </w:rPr>
        <w:t>*</w:t>
      </w:r>
    </w:p>
    <w:p w:rsidR="0065308A" w:rsidRDefault="006237B8" w:rsidP="002951AF">
      <w:pPr>
        <w:spacing w:before="120" w:after="0" w:line="36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237B8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2625" cy="3638550"/>
            <wp:effectExtent l="19050" t="0" r="0" b="0"/>
            <wp:docPr id="9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1B7E6C" w:rsidRPr="001B7E6C">
        <w:rPr>
          <w:rFonts w:ascii="Times New Roman" w:hAnsi="Times New Roman" w:cs="Times New Roman"/>
          <w:sz w:val="18"/>
          <w:szCs w:val="18"/>
        </w:rPr>
        <w:t>*na wykresie nie uwzględniono osób o nieustalonym doświadczeniu zawodowym</w:t>
      </w:r>
    </w:p>
    <w:p w:rsidR="002951AF" w:rsidRPr="002951AF" w:rsidRDefault="002951AF" w:rsidP="002951AF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10133F" w:rsidRDefault="00773114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Zarówno dla ogółu bezrobotnych jak i długotrwale bezrobotnych n</w:t>
      </w:r>
      <w:r w:rsidR="0030278B">
        <w:rPr>
          <w:rFonts w:ascii="Times New Roman" w:hAnsi="Times New Roman" w:cs="Times New Roman"/>
          <w:sz w:val="24"/>
          <w:szCs w:val="24"/>
        </w:rPr>
        <w:t>ajwiększy udział uprzednio pracujących wystąpił</w:t>
      </w:r>
      <w:r>
        <w:rPr>
          <w:rFonts w:ascii="Times New Roman" w:hAnsi="Times New Roman" w:cs="Times New Roman"/>
          <w:sz w:val="24"/>
          <w:szCs w:val="24"/>
        </w:rPr>
        <w:t xml:space="preserve"> w województwie lubuskim</w:t>
      </w:r>
      <w:r w:rsidR="0030278B">
        <w:rPr>
          <w:rFonts w:ascii="Times New Roman" w:hAnsi="Times New Roman" w:cs="Times New Roman"/>
          <w:sz w:val="24"/>
          <w:szCs w:val="24"/>
        </w:rPr>
        <w:t>, a największy udział osób dotychczas niepracujących wystąpił w województwie podkarpack</w:t>
      </w:r>
      <w:r>
        <w:rPr>
          <w:rFonts w:ascii="Times New Roman" w:hAnsi="Times New Roman" w:cs="Times New Roman"/>
          <w:sz w:val="24"/>
          <w:szCs w:val="24"/>
        </w:rPr>
        <w:t>im.</w:t>
      </w:r>
    </w:p>
    <w:p w:rsidR="008F7A36" w:rsidRDefault="008F7A36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4C2" w:rsidRPr="009C68AC" w:rsidRDefault="009C68AC" w:rsidP="004B29ED">
      <w:pPr>
        <w:pStyle w:val="Legenda"/>
        <w:spacing w:after="120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3.5</w:t>
      </w:r>
      <w:r w:rsidRPr="009C68AC">
        <w:rPr>
          <w:rFonts w:ascii="Times New Roman" w:hAnsi="Times New Roman" w:cs="Times New Roman"/>
          <w:color w:val="auto"/>
          <w:sz w:val="20"/>
          <w:szCs w:val="20"/>
        </w:rPr>
        <w:t>.</w:t>
      </w:r>
      <w:r w:rsidR="00F37CFA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Struktura bezrobotnych </w:t>
      </w:r>
      <w:r w:rsidR="00773114" w:rsidRPr="009C68AC">
        <w:rPr>
          <w:rFonts w:ascii="Times New Roman" w:hAnsi="Times New Roman" w:cs="Times New Roman"/>
          <w:color w:val="auto"/>
          <w:sz w:val="20"/>
          <w:szCs w:val="20"/>
        </w:rPr>
        <w:t>według doświadczenia zawodowego i województw</w:t>
      </w: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60"/>
        <w:gridCol w:w="1120"/>
        <w:gridCol w:w="1162"/>
        <w:gridCol w:w="1120"/>
        <w:gridCol w:w="1120"/>
        <w:gridCol w:w="1162"/>
        <w:gridCol w:w="1120"/>
      </w:tblGrid>
      <w:tr w:rsidR="00F37CFA" w:rsidRPr="00773114" w:rsidTr="004B29ED">
        <w:trPr>
          <w:trHeight w:val="275"/>
        </w:trPr>
        <w:tc>
          <w:tcPr>
            <w:tcW w:w="2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F37CFA" w:rsidP="00773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773114"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yszczególnienie</w:t>
            </w:r>
          </w:p>
        </w:tc>
        <w:tc>
          <w:tcPr>
            <w:tcW w:w="6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Bezrobotni</w:t>
            </w:r>
            <w:r w:rsidR="00773114"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</w:tc>
      </w:tr>
      <w:tr w:rsidR="00F37CFA" w:rsidRPr="00773114" w:rsidTr="004B29ED">
        <w:trPr>
          <w:trHeight w:val="409"/>
        </w:trPr>
        <w:tc>
          <w:tcPr>
            <w:tcW w:w="2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773114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dotychczas niepracujący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 pracujący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tym długotrwale bezrobotni</w:t>
            </w:r>
          </w:p>
        </w:tc>
      </w:tr>
      <w:tr w:rsidR="00F37CFA" w:rsidRPr="00773114" w:rsidTr="004B29ED">
        <w:trPr>
          <w:trHeight w:val="556"/>
        </w:trPr>
        <w:tc>
          <w:tcPr>
            <w:tcW w:w="2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773114" w:rsidP="00773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dotychczas niepracujący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 pracujący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773114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69,5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28,2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71,8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Dolnośląskie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77,2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Kujawsko-pomorskie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71,4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Lubelskie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68,0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Lubuskie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80,7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Łódzkie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70,3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Małopolskie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32,7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70,7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Mazowieckie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69,2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Opolskie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68,4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Podkarpackie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66,6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Podlaskie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72,6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Pomorskie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75,4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Śląskie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76,2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Świętokrzyskie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67,4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Warmińsko-mazurskie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68,0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Wielkopolskie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72,8</w:t>
            </w:r>
          </w:p>
        </w:tc>
      </w:tr>
      <w:tr w:rsidR="00F37CFA" w:rsidRPr="00773114" w:rsidTr="004B29ED">
        <w:trPr>
          <w:trHeight w:val="284"/>
        </w:trPr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Zachodniopomorskie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4B29ED" w:rsidRDefault="00F37CFA" w:rsidP="00F37C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B2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72,3</w:t>
            </w:r>
          </w:p>
        </w:tc>
      </w:tr>
      <w:tr w:rsidR="00F37CFA" w:rsidRPr="00A535FB" w:rsidTr="00F37CFA">
        <w:trPr>
          <w:trHeight w:val="240"/>
        </w:trPr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7CFA" w:rsidRPr="00A535FB" w:rsidRDefault="00773114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535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</w:t>
            </w:r>
            <w:r w:rsidR="00F37CFA" w:rsidRPr="00A535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tabeli nie ujęto osób o nieustalonym doświadczeniu zawodowym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CFA" w:rsidRPr="00A535FB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CFA" w:rsidRPr="00A535FB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CFA" w:rsidRPr="00A535FB" w:rsidRDefault="00F37CFA" w:rsidP="00F37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4B29ED" w:rsidRPr="004B29ED" w:rsidRDefault="004B29ED" w:rsidP="004B29ED">
      <w:pPr>
        <w:spacing w:before="120" w:line="36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:rsidR="004B29ED" w:rsidRPr="004B29ED" w:rsidRDefault="0030278B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6F4D">
        <w:rPr>
          <w:rFonts w:ascii="Times New Roman" w:hAnsi="Times New Roman" w:cs="Times New Roman"/>
          <w:sz w:val="24"/>
          <w:szCs w:val="24"/>
        </w:rPr>
        <w:t xml:space="preserve">Długotrwale bezrobotnych wykonujących w ostatnim miejscu pracy zawód z grupy robotnicy przemysłowi i rzemieślnicy było 68,6 tys., a wykonujących zawód z grupy pracownicy usług osobistych i sprzedawcy było 47,7 tys. W sumie grupy te stanowiły prawie </w:t>
      </w:r>
      <w:r w:rsidR="00A3080B" w:rsidRPr="00196F4D">
        <w:rPr>
          <w:rFonts w:ascii="Times New Roman" w:hAnsi="Times New Roman" w:cs="Times New Roman"/>
          <w:sz w:val="24"/>
          <w:szCs w:val="24"/>
        </w:rPr>
        <w:t xml:space="preserve">połowę długotrwale bezrobotnych uprzednio pracujących w </w:t>
      </w:r>
      <w:r w:rsidR="007504AA">
        <w:rPr>
          <w:rFonts w:ascii="Times New Roman" w:hAnsi="Times New Roman" w:cs="Times New Roman"/>
          <w:sz w:val="24"/>
          <w:szCs w:val="24"/>
        </w:rPr>
        <w:t>okresie</w:t>
      </w:r>
      <w:r w:rsidR="00A3080B" w:rsidRPr="00196F4D">
        <w:rPr>
          <w:rFonts w:ascii="Times New Roman" w:hAnsi="Times New Roman" w:cs="Times New Roman"/>
          <w:sz w:val="24"/>
          <w:szCs w:val="24"/>
        </w:rPr>
        <w:t xml:space="preserve"> 2003-2011.</w:t>
      </w:r>
    </w:p>
    <w:p w:rsidR="0030278B" w:rsidRPr="009C68AC" w:rsidRDefault="009C68AC" w:rsidP="00A535FB">
      <w:pPr>
        <w:pStyle w:val="Legenda"/>
        <w:spacing w:after="0"/>
        <w:ind w:left="1134" w:hanging="113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Wykres 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.7</w:t>
      </w:r>
      <w:r w:rsidR="0010133F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>Struktura długotrwale bezrobo</w:t>
      </w:r>
      <w:r w:rsidR="007504AA" w:rsidRPr="009C68AC">
        <w:rPr>
          <w:rFonts w:ascii="Times New Roman" w:hAnsi="Times New Roman" w:cs="Times New Roman"/>
          <w:color w:val="auto"/>
          <w:sz w:val="20"/>
          <w:szCs w:val="20"/>
        </w:rPr>
        <w:t>tnych uprzednio pracujących (w okresie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2003-2011) według zawodu wykonywanego w ostatnim miejscu pracy</w:t>
      </w:r>
    </w:p>
    <w:p w:rsidR="0010133F" w:rsidRPr="0010133F" w:rsidRDefault="0010133F" w:rsidP="0030278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8"/>
          <w:szCs w:val="20"/>
        </w:rPr>
      </w:pPr>
    </w:p>
    <w:p w:rsidR="002951AF" w:rsidRDefault="0030278B" w:rsidP="002951A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DD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895975" cy="3105150"/>
            <wp:effectExtent l="19050" t="0" r="0" b="0"/>
            <wp:docPr id="6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951AF" w:rsidRPr="002951AF" w:rsidRDefault="0030278B" w:rsidP="00F761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Robotnicy przemysłowi i rzemieślnicy to grupa zawodów dominująca zarówno wśród </w:t>
      </w:r>
      <w:r w:rsidR="00511012">
        <w:rPr>
          <w:rFonts w:ascii="Times New Roman" w:hAnsi="Times New Roman" w:cs="Times New Roman"/>
          <w:sz w:val="24"/>
          <w:szCs w:val="24"/>
        </w:rPr>
        <w:t xml:space="preserve">długotrwale bezrobotnych </w:t>
      </w:r>
      <w:r>
        <w:rPr>
          <w:rFonts w:ascii="Times New Roman" w:hAnsi="Times New Roman" w:cs="Times New Roman"/>
          <w:sz w:val="24"/>
          <w:szCs w:val="24"/>
        </w:rPr>
        <w:t xml:space="preserve">mieszkańców miast jak i wsi. </w:t>
      </w:r>
      <w:r w:rsidR="00786B28">
        <w:rPr>
          <w:rFonts w:ascii="Times New Roman" w:hAnsi="Times New Roman" w:cs="Times New Roman"/>
          <w:sz w:val="24"/>
          <w:szCs w:val="24"/>
        </w:rPr>
        <w:t>Również w</w:t>
      </w:r>
      <w:r>
        <w:rPr>
          <w:rFonts w:ascii="Times New Roman" w:hAnsi="Times New Roman" w:cs="Times New Roman"/>
          <w:sz w:val="24"/>
          <w:szCs w:val="24"/>
        </w:rPr>
        <w:t xml:space="preserve">śród mężczyzn </w:t>
      </w:r>
      <w:r w:rsidR="00786B28">
        <w:rPr>
          <w:rFonts w:ascii="Times New Roman" w:hAnsi="Times New Roman" w:cs="Times New Roman"/>
          <w:sz w:val="24"/>
          <w:szCs w:val="24"/>
        </w:rPr>
        <w:t>długotrwale bezrobotnych dominowali robotnicy przemysłowi i rzemieślnicy</w:t>
      </w:r>
      <w:r>
        <w:rPr>
          <w:rFonts w:ascii="Times New Roman" w:hAnsi="Times New Roman" w:cs="Times New Roman"/>
          <w:sz w:val="24"/>
          <w:szCs w:val="24"/>
        </w:rPr>
        <w:t xml:space="preserve">, natomiast </w:t>
      </w:r>
      <w:r w:rsidR="00786B28">
        <w:rPr>
          <w:rFonts w:ascii="Times New Roman" w:hAnsi="Times New Roman" w:cs="Times New Roman"/>
          <w:sz w:val="24"/>
          <w:szCs w:val="24"/>
        </w:rPr>
        <w:t xml:space="preserve">długotrwale bezrobotne </w:t>
      </w:r>
      <w:r>
        <w:rPr>
          <w:rFonts w:ascii="Times New Roman" w:hAnsi="Times New Roman" w:cs="Times New Roman"/>
          <w:sz w:val="24"/>
          <w:szCs w:val="24"/>
        </w:rPr>
        <w:t xml:space="preserve">kobiety wykonywały </w:t>
      </w:r>
      <w:r w:rsidR="00786B28">
        <w:rPr>
          <w:rFonts w:ascii="Times New Roman" w:hAnsi="Times New Roman" w:cs="Times New Roman"/>
          <w:sz w:val="24"/>
          <w:szCs w:val="24"/>
        </w:rPr>
        <w:t xml:space="preserve">uprzednio </w:t>
      </w:r>
      <w:r>
        <w:rPr>
          <w:rFonts w:ascii="Times New Roman" w:hAnsi="Times New Roman" w:cs="Times New Roman"/>
          <w:sz w:val="24"/>
          <w:szCs w:val="24"/>
        </w:rPr>
        <w:t>w większości zawody z grupy</w:t>
      </w:r>
      <w:r w:rsidR="00B83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pracownicy usług osobistych i sprzedawcy.</w:t>
      </w:r>
    </w:p>
    <w:p w:rsidR="0030278B" w:rsidRPr="009C68AC" w:rsidRDefault="009C68AC" w:rsidP="00D2304F">
      <w:pPr>
        <w:pStyle w:val="Legenda"/>
        <w:ind w:left="1134" w:hanging="113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3.6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Struktura długotrwale bezrobotnych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uprzednio pracujący</w:t>
      </w:r>
      <w:r w:rsidR="00757FB4" w:rsidRPr="009C68AC">
        <w:rPr>
          <w:rFonts w:ascii="Times New Roman" w:hAnsi="Times New Roman" w:cs="Times New Roman"/>
          <w:color w:val="auto"/>
          <w:sz w:val="20"/>
          <w:szCs w:val="20"/>
        </w:rPr>
        <w:t>ch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(w </w:t>
      </w:r>
      <w:r w:rsidR="00D91173" w:rsidRPr="009C68AC">
        <w:rPr>
          <w:rFonts w:ascii="Times New Roman" w:hAnsi="Times New Roman" w:cs="Times New Roman"/>
          <w:color w:val="auto"/>
          <w:sz w:val="20"/>
          <w:szCs w:val="20"/>
        </w:rPr>
        <w:t>okresie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2003-2011) według zawodu wykonywanego w ostatnim miejscu pracy, płci i miejsca zamieszkania</w:t>
      </w:r>
      <w:r w:rsidR="00573F78">
        <w:rPr>
          <w:rFonts w:ascii="Times New Roman" w:hAnsi="Times New Roman" w:cs="Times New Roman"/>
          <w:color w:val="auto"/>
          <w:sz w:val="20"/>
          <w:szCs w:val="20"/>
        </w:rPr>
        <w:t xml:space="preserve"> w wybranych wielkich grupach zawodów</w:t>
      </w:r>
    </w:p>
    <w:tbl>
      <w:tblPr>
        <w:tblW w:w="9096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60"/>
        <w:gridCol w:w="5083"/>
        <w:gridCol w:w="981"/>
        <w:gridCol w:w="957"/>
        <w:gridCol w:w="957"/>
        <w:gridCol w:w="958"/>
      </w:tblGrid>
      <w:tr w:rsidR="0030278B" w:rsidRPr="00D54DC4" w:rsidTr="00F76118">
        <w:trPr>
          <w:trHeight w:val="424"/>
        </w:trPr>
        <w:tc>
          <w:tcPr>
            <w:tcW w:w="52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</w:tr>
      <w:tr w:rsidR="0030278B" w:rsidRPr="00D54DC4" w:rsidTr="00C85222">
        <w:trPr>
          <w:trHeight w:val="267"/>
        </w:trPr>
        <w:tc>
          <w:tcPr>
            <w:tcW w:w="52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4B29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30278B" w:rsidRPr="00D54DC4" w:rsidTr="00573F78">
        <w:trPr>
          <w:trHeight w:val="267"/>
        </w:trPr>
        <w:tc>
          <w:tcPr>
            <w:tcW w:w="5243" w:type="dxa"/>
            <w:gridSpan w:val="2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</w:tr>
      <w:tr w:rsidR="00573F78" w:rsidRPr="00D54DC4" w:rsidTr="00573F78">
        <w:trPr>
          <w:trHeight w:val="267"/>
        </w:trPr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F78" w:rsidRPr="00D54DC4" w:rsidRDefault="00573F78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 w:val="restar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Przedstawiciele władz publicznych, wyżsi urzędnicy i kierownicy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1,6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Specjaliści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Technicy i inny średni personel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7,8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biurowi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6,3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usług osobistych i sprzedawcy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32,3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Rolnicy, ogrodnicy, leśnicy i rybacy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Robotnicy przemysłowi i rzemieślnicy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27,1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34,4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Operatorzy i monterzy maszyn i urządzeń</w:t>
            </w:r>
          </w:p>
        </w:tc>
        <w:tc>
          <w:tcPr>
            <w:tcW w:w="9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12,1</w:t>
            </w:r>
          </w:p>
        </w:tc>
        <w:tc>
          <w:tcPr>
            <w:tcW w:w="9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</w:t>
            </w:r>
          </w:p>
        </w:tc>
        <w:tc>
          <w:tcPr>
            <w:tcW w:w="9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9,1</w:t>
            </w:r>
          </w:p>
        </w:tc>
      </w:tr>
      <w:tr w:rsidR="0030278B" w:rsidRPr="00D54DC4" w:rsidTr="00573F78">
        <w:trPr>
          <w:trHeight w:val="267"/>
        </w:trPr>
        <w:tc>
          <w:tcPr>
            <w:tcW w:w="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Pracownicy przy pracach prostych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D54DC4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D54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13,4</w:t>
            </w:r>
          </w:p>
        </w:tc>
      </w:tr>
    </w:tbl>
    <w:p w:rsidR="0030278B" w:rsidRDefault="0030278B" w:rsidP="0030278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78B" w:rsidRPr="00773114" w:rsidRDefault="0030278B" w:rsidP="00F7611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86B2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ajliczniejsze były grupy długotrwale bezrobotnych, których rodzaj działalności ostatniego miejsca pracy należał do sekcji przetwórstwo przemysłowe – 67,8 tys. i handel hurtowy i detaliczny, naprawa pojazdów</w:t>
      </w:r>
      <w:r w:rsidRPr="00BB6897">
        <w:rPr>
          <w:rFonts w:ascii="Times New Roman" w:hAnsi="Times New Roman" w:cs="Times New Roman"/>
          <w:sz w:val="24"/>
          <w:szCs w:val="24"/>
        </w:rPr>
        <w:t xml:space="preserve"> samochodowych, włączając motocykle</w:t>
      </w:r>
      <w:r>
        <w:rPr>
          <w:rFonts w:ascii="Times New Roman" w:hAnsi="Times New Roman" w:cs="Times New Roman"/>
          <w:sz w:val="24"/>
          <w:szCs w:val="24"/>
        </w:rPr>
        <w:t xml:space="preserve"> – 43,7</w:t>
      </w:r>
      <w:r w:rsidR="00196F4D">
        <w:rPr>
          <w:rFonts w:ascii="Times New Roman" w:hAnsi="Times New Roman" w:cs="Times New Roman"/>
          <w:sz w:val="24"/>
          <w:szCs w:val="24"/>
        </w:rPr>
        <w:t xml:space="preserve"> tys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278B" w:rsidRPr="009C68AC" w:rsidRDefault="009C68AC" w:rsidP="00D2304F">
      <w:pPr>
        <w:pStyle w:val="Legenda"/>
        <w:ind w:left="1134" w:hanging="1134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Tabela </w:t>
      </w:r>
      <w:r w:rsidR="00175509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D2304F">
        <w:rPr>
          <w:rFonts w:ascii="Times New Roman" w:hAnsi="Times New Roman" w:cs="Times New Roman"/>
          <w:color w:val="auto"/>
          <w:sz w:val="20"/>
          <w:szCs w:val="20"/>
        </w:rPr>
        <w:t>.7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757FB4" w:rsidRPr="009C68AC">
        <w:rPr>
          <w:rFonts w:ascii="Times New Roman" w:hAnsi="Times New Roman" w:cs="Times New Roman"/>
          <w:color w:val="auto"/>
          <w:sz w:val="20"/>
          <w:szCs w:val="20"/>
        </w:rPr>
        <w:t>Struktura długotrwale bezrobotnych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uprzednio pracujący</w:t>
      </w:r>
      <w:r w:rsidR="00757FB4" w:rsidRPr="009C68AC">
        <w:rPr>
          <w:rFonts w:ascii="Times New Roman" w:hAnsi="Times New Roman" w:cs="Times New Roman"/>
          <w:color w:val="auto"/>
          <w:sz w:val="20"/>
          <w:szCs w:val="20"/>
        </w:rPr>
        <w:t>ch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(w </w:t>
      </w:r>
      <w:r w:rsidR="00757FB4" w:rsidRPr="009C68AC">
        <w:rPr>
          <w:rFonts w:ascii="Times New Roman" w:hAnsi="Times New Roman" w:cs="Times New Roman"/>
          <w:color w:val="auto"/>
          <w:sz w:val="20"/>
          <w:szCs w:val="20"/>
        </w:rPr>
        <w:t>okresie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2003-2011) według </w:t>
      </w:r>
      <w:r w:rsidR="00757FB4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wybranych 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>sekcji PKD ostatniego miejsca pracy, płci i miejsca zamieszkania</w:t>
      </w:r>
    </w:p>
    <w:tbl>
      <w:tblPr>
        <w:tblW w:w="9097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85"/>
        <w:gridCol w:w="4474"/>
        <w:gridCol w:w="877"/>
        <w:gridCol w:w="930"/>
        <w:gridCol w:w="877"/>
        <w:gridCol w:w="877"/>
        <w:gridCol w:w="877"/>
      </w:tblGrid>
      <w:tr w:rsidR="0030278B" w:rsidRPr="00F40B2E" w:rsidTr="00C85222">
        <w:trPr>
          <w:trHeight w:val="436"/>
        </w:trPr>
        <w:tc>
          <w:tcPr>
            <w:tcW w:w="46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</w:tr>
      <w:tr w:rsidR="0030278B" w:rsidRPr="00F40B2E" w:rsidTr="00C85222">
        <w:trPr>
          <w:trHeight w:val="294"/>
        </w:trPr>
        <w:tc>
          <w:tcPr>
            <w:tcW w:w="46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9974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30278B" w:rsidRPr="00F40B2E" w:rsidTr="00C85222">
        <w:trPr>
          <w:trHeight w:val="235"/>
        </w:trPr>
        <w:tc>
          <w:tcPr>
            <w:tcW w:w="46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</w:tr>
      <w:tr w:rsidR="00757FB4" w:rsidRPr="00F40B2E" w:rsidTr="00C85222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757FB4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757FB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0278B" w:rsidRPr="00F40B2E" w:rsidTr="00C85222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Rolnictwo, leśnictwo, łowiectwo i rybactwo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5,4</w:t>
            </w:r>
          </w:p>
        </w:tc>
      </w:tr>
      <w:tr w:rsidR="0030278B" w:rsidRPr="00F40B2E" w:rsidTr="00C85222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78B" w:rsidRPr="00F40B2E" w:rsidRDefault="0030278B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Przetwórstwo przemysłowe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30,7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78B" w:rsidRPr="00F40B2E" w:rsidRDefault="0030278B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30,7</w:t>
            </w:r>
          </w:p>
        </w:tc>
      </w:tr>
      <w:tr w:rsidR="00757FB4" w:rsidRPr="00F40B2E" w:rsidTr="00C85222">
        <w:trPr>
          <w:trHeight w:val="47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Budownictwo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22,3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13,9</w:t>
            </w:r>
          </w:p>
        </w:tc>
      </w:tr>
      <w:tr w:rsidR="00757FB4" w:rsidRPr="00F40B2E" w:rsidTr="00C85222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Handel hurtowy i detaliczny; naprawa pojazdów samochodowych, włączając motocykle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15,7</w:t>
            </w:r>
          </w:p>
        </w:tc>
      </w:tr>
      <w:tr w:rsidR="00757FB4" w:rsidRPr="00F40B2E" w:rsidTr="00C85222">
        <w:trPr>
          <w:trHeight w:val="47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Transport i gospodarka magazynowa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</w:tr>
      <w:tr w:rsidR="00757FB4" w:rsidRPr="00F40B2E" w:rsidTr="00C85222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Działalność związana z zakwaterowaniem i usługami gastronomicznymi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</w:tr>
      <w:tr w:rsidR="00757FB4" w:rsidRPr="00F40B2E" w:rsidTr="00C85222">
        <w:trPr>
          <w:trHeight w:val="47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Administracja publiczna i obrona narodowa; obowiązkowe zabezpieczenia społeczne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5,4</w:t>
            </w:r>
          </w:p>
        </w:tc>
      </w:tr>
      <w:tr w:rsidR="00757FB4" w:rsidRPr="00F40B2E" w:rsidTr="005B74E1">
        <w:trPr>
          <w:trHeight w:val="235"/>
        </w:trPr>
        <w:tc>
          <w:tcPr>
            <w:tcW w:w="1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Edukacja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3,3</w:t>
            </w:r>
          </w:p>
        </w:tc>
        <w:tc>
          <w:tcPr>
            <w:tcW w:w="9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1,6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5,4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  <w:tc>
          <w:tcPr>
            <w:tcW w:w="8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</w:tr>
      <w:tr w:rsidR="00757FB4" w:rsidRPr="00F40B2E" w:rsidTr="005B74E1">
        <w:trPr>
          <w:trHeight w:val="235"/>
        </w:trPr>
        <w:tc>
          <w:tcPr>
            <w:tcW w:w="1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FB4" w:rsidRPr="00F40B2E" w:rsidRDefault="00757FB4" w:rsidP="00C852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Opieka zdrowotna i pomoc społeczna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7FB4" w:rsidRPr="00F40B2E" w:rsidRDefault="00757FB4" w:rsidP="00C8522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0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2,6</w:t>
            </w:r>
          </w:p>
        </w:tc>
      </w:tr>
    </w:tbl>
    <w:p w:rsidR="0030278B" w:rsidRPr="002D2DD3" w:rsidRDefault="0030278B" w:rsidP="008F7A36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Zdecydowaną większość </w:t>
      </w:r>
      <w:r w:rsidR="00786B28">
        <w:rPr>
          <w:rFonts w:ascii="Times New Roman" w:hAnsi="Times New Roman" w:cs="Times New Roman"/>
          <w:sz w:val="24"/>
          <w:szCs w:val="24"/>
        </w:rPr>
        <w:t xml:space="preserve">długotrwale bezrobotnych </w:t>
      </w:r>
      <w:r>
        <w:rPr>
          <w:rFonts w:ascii="Times New Roman" w:hAnsi="Times New Roman" w:cs="Times New Roman"/>
          <w:sz w:val="24"/>
          <w:szCs w:val="24"/>
        </w:rPr>
        <w:t>stanowiły osoby, które w ostatniej pracy miały status pracownika najemnego – 214,3 tys., czyli 91,5</w:t>
      </w:r>
      <w:r w:rsidRPr="002D2DD3">
        <w:rPr>
          <w:rFonts w:ascii="Times New Roman" w:hAnsi="Times New Roman" w:cs="Times New Roman"/>
          <w:sz w:val="24"/>
          <w:szCs w:val="24"/>
        </w:rPr>
        <w:t>%. Pracujący na własny rachunek</w:t>
      </w:r>
      <w:r w:rsidR="002D2DD3" w:rsidRPr="002D2DD3">
        <w:rPr>
          <w:rFonts w:ascii="Times New Roman" w:hAnsi="Times New Roman" w:cs="Times New Roman"/>
          <w:sz w:val="24"/>
          <w:szCs w:val="24"/>
        </w:rPr>
        <w:t xml:space="preserve"> (niezatrudniający pracowników)</w:t>
      </w:r>
      <w:r w:rsidRPr="002D2DD3">
        <w:rPr>
          <w:rFonts w:ascii="Times New Roman" w:hAnsi="Times New Roman" w:cs="Times New Roman"/>
          <w:sz w:val="24"/>
          <w:szCs w:val="24"/>
        </w:rPr>
        <w:t xml:space="preserve"> stanowili 6,2% długotrwale bezrobotnych uprzednio pracujących, pracodawcy </w:t>
      </w:r>
      <w:r w:rsidR="002D2DD3">
        <w:rPr>
          <w:rFonts w:ascii="Times New Roman" w:hAnsi="Times New Roman" w:cs="Times New Roman"/>
          <w:sz w:val="24"/>
          <w:szCs w:val="24"/>
        </w:rPr>
        <w:t>stanowili 1,7%</w:t>
      </w:r>
      <w:r w:rsidR="002951AF">
        <w:rPr>
          <w:rFonts w:ascii="Times New Roman" w:hAnsi="Times New Roman" w:cs="Times New Roman"/>
          <w:sz w:val="24"/>
          <w:szCs w:val="24"/>
        </w:rPr>
        <w:t>,</w:t>
      </w:r>
      <w:r w:rsidR="002D2DD3">
        <w:rPr>
          <w:rFonts w:ascii="Times New Roman" w:hAnsi="Times New Roman" w:cs="Times New Roman"/>
          <w:sz w:val="24"/>
          <w:szCs w:val="24"/>
        </w:rPr>
        <w:t xml:space="preserve"> a</w:t>
      </w:r>
      <w:r w:rsidRPr="002D2DD3">
        <w:rPr>
          <w:rFonts w:ascii="Times New Roman" w:hAnsi="Times New Roman" w:cs="Times New Roman"/>
          <w:sz w:val="24"/>
          <w:szCs w:val="24"/>
        </w:rPr>
        <w:t xml:space="preserve"> </w:t>
      </w:r>
      <w:r w:rsidR="002D2DD3">
        <w:rPr>
          <w:rFonts w:ascii="Times New Roman" w:hAnsi="Times New Roman" w:cs="Times New Roman"/>
          <w:sz w:val="24"/>
          <w:szCs w:val="24"/>
        </w:rPr>
        <w:t xml:space="preserve">pomagający członkowie rodziny </w:t>
      </w:r>
      <w:r w:rsidRPr="002D2DD3">
        <w:rPr>
          <w:rFonts w:ascii="Times New Roman" w:hAnsi="Times New Roman" w:cs="Times New Roman"/>
          <w:sz w:val="24"/>
          <w:szCs w:val="24"/>
        </w:rPr>
        <w:t>0,6%.</w:t>
      </w:r>
    </w:p>
    <w:p w:rsidR="00362ACC" w:rsidRDefault="002D2DD3" w:rsidP="008F7A36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278B" w:rsidRPr="0010133F" w:rsidRDefault="009C68AC" w:rsidP="00A535FB">
      <w:pPr>
        <w:pStyle w:val="Legenda"/>
        <w:ind w:left="1134" w:hanging="1134"/>
        <w:jc w:val="both"/>
        <w:rPr>
          <w:rFonts w:ascii="Times New Roman" w:hAnsi="Times New Roman" w:cs="Times New Roman"/>
          <w:sz w:val="20"/>
          <w:szCs w:val="20"/>
        </w:rPr>
      </w:pPr>
      <w:r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Wykres </w:t>
      </w:r>
      <w:r w:rsidR="00171B96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6A6CE9">
        <w:rPr>
          <w:rFonts w:ascii="Times New Roman" w:hAnsi="Times New Roman" w:cs="Times New Roman"/>
          <w:color w:val="auto"/>
          <w:sz w:val="20"/>
          <w:szCs w:val="20"/>
        </w:rPr>
        <w:t>.8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. Struktura długotrwale bezrobotnych uprzednio pracujących (w </w:t>
      </w:r>
      <w:r w:rsidR="002074EA" w:rsidRPr="009C68AC">
        <w:rPr>
          <w:rFonts w:ascii="Times New Roman" w:hAnsi="Times New Roman" w:cs="Times New Roman"/>
          <w:color w:val="auto"/>
          <w:sz w:val="20"/>
          <w:szCs w:val="20"/>
        </w:rPr>
        <w:t>okresie</w:t>
      </w:r>
      <w:r w:rsidR="0030278B" w:rsidRPr="009C68AC">
        <w:rPr>
          <w:rFonts w:ascii="Times New Roman" w:hAnsi="Times New Roman" w:cs="Times New Roman"/>
          <w:color w:val="auto"/>
          <w:sz w:val="20"/>
          <w:szCs w:val="20"/>
        </w:rPr>
        <w:t xml:space="preserve"> 2003-2011) według statusu zatrudnienia w ostatnim miejscu pracy, płci i miejsca zamieszkania</w:t>
      </w:r>
    </w:p>
    <w:p w:rsidR="0030278B" w:rsidRDefault="00EA2554" w:rsidP="008F7A36">
      <w:pPr>
        <w:spacing w:after="24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5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790825" cy="4000500"/>
            <wp:effectExtent l="0" t="0" r="0" b="0"/>
            <wp:docPr id="7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EA255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57500" cy="3952875"/>
            <wp:effectExtent l="19050" t="0" r="0" b="0"/>
            <wp:docPr id="10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259BF" w:rsidRDefault="0030278B" w:rsidP="008F7A36">
      <w:pPr>
        <w:spacing w:before="36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Zarówno wśród mieszkańców miast jak i wsi oraz wśród mężczyzn i kobiet zdecydowana większość długotrwałe bezrobotnych uprzednio pracujących pracowała najemnie. Natomiast wśród pracujących na własny rachunek</w:t>
      </w:r>
      <w:r w:rsidR="0057022B">
        <w:rPr>
          <w:rFonts w:ascii="Times New Roman" w:hAnsi="Times New Roman" w:cs="Times New Roman"/>
          <w:sz w:val="24"/>
          <w:szCs w:val="24"/>
        </w:rPr>
        <w:t xml:space="preserve"> (niezatrudniających  pracowników)</w:t>
      </w:r>
      <w:r>
        <w:rPr>
          <w:rFonts w:ascii="Times New Roman" w:hAnsi="Times New Roman" w:cs="Times New Roman"/>
          <w:sz w:val="24"/>
          <w:szCs w:val="24"/>
        </w:rPr>
        <w:t xml:space="preserve"> przeważali mężczyźni</w:t>
      </w:r>
      <w:r w:rsidR="007504AA">
        <w:rPr>
          <w:rFonts w:ascii="Times New Roman" w:hAnsi="Times New Roman" w:cs="Times New Roman"/>
          <w:sz w:val="24"/>
          <w:szCs w:val="24"/>
        </w:rPr>
        <w:t xml:space="preserve">, a biorąc pod uwagę miejsce zamieszkania </w:t>
      </w:r>
      <w:r>
        <w:rPr>
          <w:rFonts w:ascii="Times New Roman" w:hAnsi="Times New Roman" w:cs="Times New Roman"/>
          <w:sz w:val="24"/>
          <w:szCs w:val="24"/>
        </w:rPr>
        <w:t>mieszkańcy miast.</w:t>
      </w:r>
    </w:p>
    <w:p w:rsidR="00FD759B" w:rsidRPr="00FD759B" w:rsidRDefault="00FD759B" w:rsidP="00FD759B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59B">
        <w:rPr>
          <w:rFonts w:ascii="Times New Roman" w:hAnsi="Times New Roman" w:cs="Times New Roman"/>
          <w:b/>
          <w:sz w:val="28"/>
          <w:szCs w:val="28"/>
        </w:rPr>
        <w:t>Podsumowanie</w:t>
      </w:r>
    </w:p>
    <w:p w:rsidR="00F67B39" w:rsidRDefault="000D3EC3" w:rsidP="00F76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429">
        <w:rPr>
          <w:rFonts w:ascii="Times New Roman" w:hAnsi="Times New Roman" w:cs="Times New Roman"/>
          <w:sz w:val="24"/>
          <w:szCs w:val="24"/>
        </w:rPr>
        <w:t>Osoby długotrwale poszukujące pracy stano</w:t>
      </w:r>
      <w:r w:rsidR="00786B28" w:rsidRPr="00505429">
        <w:rPr>
          <w:rFonts w:ascii="Times New Roman" w:hAnsi="Times New Roman" w:cs="Times New Roman"/>
          <w:sz w:val="24"/>
          <w:szCs w:val="24"/>
        </w:rPr>
        <w:t>wi</w:t>
      </w:r>
      <w:r w:rsidR="00B836B7" w:rsidRPr="00505429">
        <w:rPr>
          <w:rFonts w:ascii="Times New Roman" w:hAnsi="Times New Roman" w:cs="Times New Roman"/>
          <w:sz w:val="24"/>
          <w:szCs w:val="24"/>
        </w:rPr>
        <w:t>ły</w:t>
      </w:r>
      <w:r w:rsidR="00786B28" w:rsidRPr="00505429">
        <w:rPr>
          <w:rFonts w:ascii="Times New Roman" w:hAnsi="Times New Roman" w:cs="Times New Roman"/>
          <w:sz w:val="24"/>
          <w:szCs w:val="24"/>
        </w:rPr>
        <w:t xml:space="preserve"> znaczną </w:t>
      </w:r>
      <w:r w:rsidR="00B836B7" w:rsidRPr="00505429">
        <w:rPr>
          <w:rFonts w:ascii="Times New Roman" w:hAnsi="Times New Roman" w:cs="Times New Roman"/>
          <w:sz w:val="24"/>
          <w:szCs w:val="24"/>
        </w:rPr>
        <w:t xml:space="preserve">część </w:t>
      </w:r>
      <w:r w:rsidR="00786B28" w:rsidRPr="00505429">
        <w:rPr>
          <w:rFonts w:ascii="Times New Roman" w:hAnsi="Times New Roman" w:cs="Times New Roman"/>
          <w:sz w:val="24"/>
          <w:szCs w:val="24"/>
        </w:rPr>
        <w:t>bezrobotnych</w:t>
      </w:r>
      <w:r w:rsidR="00505429" w:rsidRPr="0050542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86B28" w:rsidRPr="00505429">
        <w:rPr>
          <w:rFonts w:ascii="Times New Roman" w:hAnsi="Times New Roman" w:cs="Times New Roman"/>
          <w:sz w:val="24"/>
          <w:szCs w:val="24"/>
        </w:rPr>
        <w:t>. N</w:t>
      </w:r>
      <w:r w:rsidRPr="00505429">
        <w:rPr>
          <w:rFonts w:ascii="Times New Roman" w:hAnsi="Times New Roman" w:cs="Times New Roman"/>
          <w:sz w:val="24"/>
          <w:szCs w:val="24"/>
        </w:rPr>
        <w:t xml:space="preserve">iemal co czwarta osoba bezrobotna </w:t>
      </w:r>
      <w:r w:rsidR="00535825" w:rsidRPr="00505429">
        <w:rPr>
          <w:rFonts w:ascii="Times New Roman" w:hAnsi="Times New Roman" w:cs="Times New Roman"/>
          <w:sz w:val="24"/>
          <w:szCs w:val="24"/>
        </w:rPr>
        <w:t>znajduje się w takiej sytuacji. Niepokojące</w:t>
      </w:r>
      <w:r w:rsidR="00535825" w:rsidRPr="00411AD5">
        <w:rPr>
          <w:rFonts w:ascii="Times New Roman" w:hAnsi="Times New Roman" w:cs="Times New Roman"/>
          <w:sz w:val="24"/>
          <w:szCs w:val="24"/>
        </w:rPr>
        <w:t xml:space="preserve"> jest również, że 43,6% długotrwale bezrobotnych to osoby poszukujące pracy dłużej niż 2 lata. </w:t>
      </w:r>
      <w:r w:rsidR="004C0A28">
        <w:rPr>
          <w:rFonts w:ascii="Times New Roman" w:hAnsi="Times New Roman" w:cs="Times New Roman"/>
          <w:sz w:val="24"/>
          <w:szCs w:val="24"/>
        </w:rPr>
        <w:t xml:space="preserve">Blisko </w:t>
      </w:r>
      <w:r w:rsidR="00145EE5">
        <w:rPr>
          <w:rFonts w:ascii="Times New Roman" w:hAnsi="Times New Roman" w:cs="Times New Roman"/>
          <w:sz w:val="24"/>
          <w:szCs w:val="24"/>
        </w:rPr>
        <w:t>3/4</w:t>
      </w:r>
      <w:r w:rsidR="004C0A28">
        <w:rPr>
          <w:rFonts w:ascii="Times New Roman" w:hAnsi="Times New Roman" w:cs="Times New Roman"/>
          <w:sz w:val="24"/>
          <w:szCs w:val="24"/>
        </w:rPr>
        <w:t> </w:t>
      </w:r>
      <w:r w:rsidR="0077579F" w:rsidRPr="00411AD5">
        <w:rPr>
          <w:rFonts w:ascii="Times New Roman" w:hAnsi="Times New Roman" w:cs="Times New Roman"/>
          <w:sz w:val="24"/>
          <w:szCs w:val="24"/>
        </w:rPr>
        <w:t xml:space="preserve">bezrobotnych długotrwale stanowiły osoby pomiędzy 25 a 54 rokiem życia. </w:t>
      </w:r>
    </w:p>
    <w:p w:rsidR="00B836B7" w:rsidRDefault="00BD1CAD" w:rsidP="00F76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D5">
        <w:rPr>
          <w:rFonts w:ascii="Times New Roman" w:hAnsi="Times New Roman" w:cs="Times New Roman"/>
          <w:sz w:val="24"/>
          <w:szCs w:val="24"/>
        </w:rPr>
        <w:lastRenderedPageBreak/>
        <w:t>Najwięcej osób poszukujących pracy dłużej niż 12 miesię</w:t>
      </w:r>
      <w:r w:rsidR="00786B28">
        <w:rPr>
          <w:rFonts w:ascii="Times New Roman" w:hAnsi="Times New Roman" w:cs="Times New Roman"/>
          <w:sz w:val="24"/>
          <w:szCs w:val="24"/>
        </w:rPr>
        <w:t>cy było wśród mieszkańców miast. M</w:t>
      </w:r>
      <w:r w:rsidR="00B836B7">
        <w:rPr>
          <w:rFonts w:ascii="Times New Roman" w:hAnsi="Times New Roman" w:cs="Times New Roman"/>
          <w:sz w:val="24"/>
          <w:szCs w:val="24"/>
        </w:rPr>
        <w:t xml:space="preserve">oże </w:t>
      </w:r>
      <w:r w:rsidRPr="00411AD5">
        <w:rPr>
          <w:rFonts w:ascii="Times New Roman" w:hAnsi="Times New Roman" w:cs="Times New Roman"/>
          <w:sz w:val="24"/>
          <w:szCs w:val="24"/>
        </w:rPr>
        <w:t>wynika</w:t>
      </w:r>
      <w:r w:rsidR="00F9377D">
        <w:rPr>
          <w:rFonts w:ascii="Times New Roman" w:hAnsi="Times New Roman" w:cs="Times New Roman"/>
          <w:sz w:val="24"/>
          <w:szCs w:val="24"/>
        </w:rPr>
        <w:t>ć to</w:t>
      </w:r>
      <w:r w:rsidRPr="00411AD5">
        <w:rPr>
          <w:rFonts w:ascii="Times New Roman" w:hAnsi="Times New Roman" w:cs="Times New Roman"/>
          <w:sz w:val="24"/>
          <w:szCs w:val="24"/>
        </w:rPr>
        <w:t xml:space="preserve"> z faktu, że na terenach wiejskich łatwiej o pracę dorywczą, sezonową, niewymagającą wysokich kwalifikacji. </w:t>
      </w:r>
    </w:p>
    <w:p w:rsidR="00BD1CAD" w:rsidRPr="00411AD5" w:rsidRDefault="00BB4A0D" w:rsidP="00F76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podkreślić pozytywny wpływ wykształceni</w:t>
      </w:r>
      <w:r w:rsidR="00F67B3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na ryzyko długotrwałego bezrobocia. W </w:t>
      </w:r>
      <w:r w:rsidR="00F67B39">
        <w:rPr>
          <w:rFonts w:ascii="Times New Roman" w:hAnsi="Times New Roman" w:cs="Times New Roman"/>
          <w:sz w:val="24"/>
          <w:szCs w:val="24"/>
        </w:rPr>
        <w:t xml:space="preserve">niniejszym </w:t>
      </w:r>
      <w:r>
        <w:rPr>
          <w:rFonts w:ascii="Times New Roman" w:hAnsi="Times New Roman" w:cs="Times New Roman"/>
          <w:sz w:val="24"/>
          <w:szCs w:val="24"/>
        </w:rPr>
        <w:t>rozdziale wykazano, że n</w:t>
      </w:r>
      <w:r w:rsidR="00100F8D" w:rsidRPr="00411AD5">
        <w:rPr>
          <w:rFonts w:ascii="Times New Roman" w:hAnsi="Times New Roman" w:cs="Times New Roman"/>
          <w:sz w:val="24"/>
          <w:szCs w:val="24"/>
        </w:rPr>
        <w:t>ajmniej osób poszukujących pracy dłużej niż 12 miesięcy było z wykształceniem wyższym i średnim ogólnokształcącym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3393" w:rsidRPr="00411AD5">
        <w:rPr>
          <w:rFonts w:ascii="Times New Roman" w:hAnsi="Times New Roman" w:cs="Times New Roman"/>
          <w:sz w:val="24"/>
          <w:szCs w:val="24"/>
        </w:rPr>
        <w:t xml:space="preserve">Najliczniejszą grupę długotrwale bezrobotnych zarówno w przypadku kobiet i mężczyzn stanowiły osoby z wykształceniem zasadniczym zawodowym. </w:t>
      </w:r>
    </w:p>
    <w:p w:rsidR="000D3EC3" w:rsidRDefault="00687F9F" w:rsidP="00F761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D5">
        <w:rPr>
          <w:rFonts w:ascii="Times New Roman" w:hAnsi="Times New Roman" w:cs="Times New Roman"/>
          <w:sz w:val="24"/>
          <w:szCs w:val="24"/>
        </w:rPr>
        <w:t>Zjawisko długotrwa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łego bezrobocia jest istotnym </w:t>
      </w:r>
      <w:r w:rsidRPr="00411AD5">
        <w:rPr>
          <w:rFonts w:ascii="Times New Roman" w:hAnsi="Times New Roman" w:cs="Times New Roman"/>
          <w:sz w:val="24"/>
          <w:szCs w:val="24"/>
        </w:rPr>
        <w:t xml:space="preserve"> problemem społecznym, który dotyka szerokie rzesze ludności.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 Niepokojącą jest liczba bezrobotnych, którzy dotychczas nie pracowali bądź przerwa w ich pracy </w:t>
      </w:r>
      <w:r w:rsidR="00BB4A0D">
        <w:rPr>
          <w:rFonts w:ascii="Times New Roman" w:hAnsi="Times New Roman" w:cs="Times New Roman"/>
          <w:sz w:val="24"/>
          <w:szCs w:val="24"/>
        </w:rPr>
        <w:t>była bardzo długa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. </w:t>
      </w:r>
      <w:r w:rsidR="00BB4A0D" w:rsidRPr="00411AD5">
        <w:rPr>
          <w:rFonts w:ascii="Times New Roman" w:hAnsi="Times New Roman" w:cs="Times New Roman"/>
          <w:sz w:val="24"/>
          <w:szCs w:val="24"/>
        </w:rPr>
        <w:t>Przeszło połowa osób długotrwale bezrobotn</w:t>
      </w:r>
      <w:r w:rsidR="00BB4A0D">
        <w:rPr>
          <w:rFonts w:ascii="Times New Roman" w:hAnsi="Times New Roman" w:cs="Times New Roman"/>
          <w:sz w:val="24"/>
          <w:szCs w:val="24"/>
        </w:rPr>
        <w:t>ych</w:t>
      </w:r>
      <w:r w:rsidR="00BB4A0D" w:rsidRPr="00411AD5">
        <w:rPr>
          <w:rFonts w:ascii="Times New Roman" w:hAnsi="Times New Roman" w:cs="Times New Roman"/>
          <w:sz w:val="24"/>
          <w:szCs w:val="24"/>
        </w:rPr>
        <w:t xml:space="preserve"> w momencie spisu wcześniej nie pracowała w ogóle lub nie pracowała </w:t>
      </w:r>
      <w:r w:rsidR="00BB4A0D">
        <w:rPr>
          <w:rFonts w:ascii="Times New Roman" w:hAnsi="Times New Roman" w:cs="Times New Roman"/>
          <w:sz w:val="24"/>
          <w:szCs w:val="24"/>
        </w:rPr>
        <w:br/>
      </w:r>
      <w:r w:rsidR="00BB4A0D" w:rsidRPr="00411AD5">
        <w:rPr>
          <w:rFonts w:ascii="Times New Roman" w:hAnsi="Times New Roman" w:cs="Times New Roman"/>
          <w:sz w:val="24"/>
          <w:szCs w:val="24"/>
        </w:rPr>
        <w:t xml:space="preserve">w przeciągu 8 lat poprzedzających Narodowy Spis Powszechny 2011. 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Aktywizacja zawodowa w przypadku takich </w:t>
      </w:r>
      <w:r w:rsidR="00734645">
        <w:rPr>
          <w:rFonts w:ascii="Times New Roman" w:hAnsi="Times New Roman" w:cs="Times New Roman"/>
          <w:sz w:val="24"/>
          <w:szCs w:val="24"/>
        </w:rPr>
        <w:t>osób może być niezwykle trudna.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 </w:t>
      </w:r>
      <w:r w:rsidR="00483824">
        <w:rPr>
          <w:rFonts w:ascii="Times New Roman" w:hAnsi="Times New Roman" w:cs="Times New Roman"/>
          <w:sz w:val="24"/>
          <w:szCs w:val="24"/>
        </w:rPr>
        <w:t>W</w:t>
      </w:r>
      <w:r w:rsidR="00492E6D">
        <w:rPr>
          <w:rFonts w:ascii="Times New Roman" w:hAnsi="Times New Roman" w:cs="Times New Roman"/>
          <w:sz w:val="24"/>
          <w:szCs w:val="24"/>
        </w:rPr>
        <w:t xml:space="preserve"> niniejszym</w:t>
      </w:r>
      <w:r w:rsidR="00483824">
        <w:rPr>
          <w:rFonts w:ascii="Times New Roman" w:hAnsi="Times New Roman" w:cs="Times New Roman"/>
          <w:sz w:val="24"/>
          <w:szCs w:val="24"/>
        </w:rPr>
        <w:t xml:space="preserve"> rozdziale ustalono, że ważnym czynnikiem zapewniającym ochronę przed długotrwałym bezrobociem jest wykształcenie. I</w:t>
      </w:r>
      <w:r w:rsidR="00BB4A0D">
        <w:rPr>
          <w:rFonts w:ascii="Times New Roman" w:hAnsi="Times New Roman" w:cs="Times New Roman"/>
          <w:sz w:val="24"/>
          <w:szCs w:val="24"/>
        </w:rPr>
        <w:t xml:space="preserve">m </w:t>
      </w:r>
      <w:r w:rsidR="00483824">
        <w:rPr>
          <w:rFonts w:ascii="Times New Roman" w:hAnsi="Times New Roman" w:cs="Times New Roman"/>
          <w:sz w:val="24"/>
          <w:szCs w:val="24"/>
        </w:rPr>
        <w:t xml:space="preserve">jest ono </w:t>
      </w:r>
      <w:r w:rsidR="00BB4A0D">
        <w:rPr>
          <w:rFonts w:ascii="Times New Roman" w:hAnsi="Times New Roman" w:cs="Times New Roman"/>
          <w:sz w:val="24"/>
          <w:szCs w:val="24"/>
        </w:rPr>
        <w:t>wyższe</w:t>
      </w:r>
      <w:r w:rsidR="00581EB2" w:rsidRPr="00411AD5">
        <w:rPr>
          <w:rFonts w:ascii="Times New Roman" w:hAnsi="Times New Roman" w:cs="Times New Roman"/>
          <w:sz w:val="24"/>
          <w:szCs w:val="24"/>
        </w:rPr>
        <w:t xml:space="preserve"> </w:t>
      </w:r>
      <w:r w:rsidR="00BB4A0D">
        <w:rPr>
          <w:rFonts w:ascii="Times New Roman" w:hAnsi="Times New Roman" w:cs="Times New Roman"/>
          <w:sz w:val="24"/>
          <w:szCs w:val="24"/>
        </w:rPr>
        <w:t xml:space="preserve">tym wyższy stopień </w:t>
      </w:r>
      <w:r w:rsidR="005F7B07">
        <w:rPr>
          <w:rFonts w:ascii="Times New Roman" w:hAnsi="Times New Roman" w:cs="Times New Roman"/>
          <w:sz w:val="24"/>
          <w:szCs w:val="24"/>
        </w:rPr>
        <w:t>ochrony</w:t>
      </w:r>
      <w:r w:rsidR="002E1E33" w:rsidRPr="00411AD5">
        <w:rPr>
          <w:rFonts w:ascii="Times New Roman" w:hAnsi="Times New Roman" w:cs="Times New Roman"/>
          <w:sz w:val="24"/>
          <w:szCs w:val="24"/>
        </w:rPr>
        <w:t xml:space="preserve"> przed długotrwałym bezrobociem. </w:t>
      </w:r>
      <w:r w:rsidR="00483824">
        <w:rPr>
          <w:rFonts w:ascii="Times New Roman" w:hAnsi="Times New Roman" w:cs="Times New Roman"/>
          <w:sz w:val="24"/>
          <w:szCs w:val="24"/>
        </w:rPr>
        <w:t>Wydaje się w związku z powyższym, że p</w:t>
      </w:r>
      <w:r w:rsidR="002E1E33" w:rsidRPr="00411AD5">
        <w:rPr>
          <w:rFonts w:ascii="Times New Roman" w:hAnsi="Times New Roman" w:cs="Times New Roman"/>
          <w:sz w:val="24"/>
          <w:szCs w:val="24"/>
        </w:rPr>
        <w:t>rzeciwdziałanie długotrwałemu bezrobociu powinno przede wszystkim opierać się na poszerzaniu, zmianie kwalifikacji</w:t>
      </w:r>
      <w:r w:rsidR="00F23E87">
        <w:rPr>
          <w:rFonts w:ascii="Times New Roman" w:hAnsi="Times New Roman" w:cs="Times New Roman"/>
          <w:sz w:val="24"/>
          <w:szCs w:val="24"/>
        </w:rPr>
        <w:t xml:space="preserve"> w ciągu życia zawodowego</w:t>
      </w:r>
      <w:r w:rsidR="002E1E33" w:rsidRPr="00411AD5">
        <w:rPr>
          <w:rFonts w:ascii="Times New Roman" w:hAnsi="Times New Roman" w:cs="Times New Roman"/>
          <w:sz w:val="24"/>
          <w:szCs w:val="24"/>
        </w:rPr>
        <w:t xml:space="preserve">, rozwijaniu kompetencji i przywracaniu bezrobotnych na rynek pracy poprzez </w:t>
      </w:r>
      <w:r w:rsidR="00F23E87">
        <w:rPr>
          <w:rFonts w:ascii="Times New Roman" w:hAnsi="Times New Roman" w:cs="Times New Roman"/>
          <w:sz w:val="24"/>
          <w:szCs w:val="24"/>
        </w:rPr>
        <w:t>kształcenie ustawiczne</w:t>
      </w:r>
      <w:r w:rsidR="002E1E33" w:rsidRPr="00411A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BA2" w:rsidRDefault="00FD0BA2" w:rsidP="0053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BA2" w:rsidRPr="00411AD5" w:rsidRDefault="00FD0BA2" w:rsidP="00536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D0BA2" w:rsidRPr="00411AD5" w:rsidSect="008F7A36">
      <w:footerReference w:type="even" r:id="rId20"/>
      <w:footerReference w:type="default" r:id="rId21"/>
      <w:pgSz w:w="11906" w:h="16838"/>
      <w:pgMar w:top="1417" w:right="1417" w:bottom="1417" w:left="1417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240" w:rsidRDefault="007B4240" w:rsidP="003C2400">
      <w:pPr>
        <w:spacing w:after="0" w:line="240" w:lineRule="auto"/>
      </w:pPr>
      <w:r>
        <w:separator/>
      </w:r>
    </w:p>
  </w:endnote>
  <w:endnote w:type="continuationSeparator" w:id="0">
    <w:p w:rsidR="007B4240" w:rsidRDefault="007B4240" w:rsidP="003C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147066"/>
      <w:docPartObj>
        <w:docPartGallery w:val="Page Numbers (Bottom of Page)"/>
        <w:docPartUnique/>
      </w:docPartObj>
    </w:sdtPr>
    <w:sdtContent>
      <w:p w:rsidR="00E062FB" w:rsidRPr="008F7A36" w:rsidRDefault="009708CD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8F7A3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5133C" w:rsidRPr="008F7A3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F7A3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50C6">
          <w:rPr>
            <w:rFonts w:ascii="Times New Roman" w:hAnsi="Times New Roman" w:cs="Times New Roman"/>
            <w:noProof/>
            <w:sz w:val="20"/>
            <w:szCs w:val="20"/>
          </w:rPr>
          <w:t>88</w:t>
        </w:r>
        <w:r w:rsidRPr="008F7A3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62FB" w:rsidRDefault="00E062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7065"/>
      <w:docPartObj>
        <w:docPartGallery w:val="Page Numbers (Bottom of Page)"/>
        <w:docPartUnique/>
      </w:docPartObj>
    </w:sdtPr>
    <w:sdtContent>
      <w:p w:rsidR="00E062FB" w:rsidRDefault="009708CD">
        <w:pPr>
          <w:pStyle w:val="Stopka"/>
          <w:jc w:val="right"/>
        </w:pPr>
        <w:r w:rsidRPr="008F7A3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5133C" w:rsidRPr="008F7A3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F7A3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50C6">
          <w:rPr>
            <w:rFonts w:ascii="Times New Roman" w:hAnsi="Times New Roman" w:cs="Times New Roman"/>
            <w:noProof/>
            <w:sz w:val="20"/>
            <w:szCs w:val="20"/>
          </w:rPr>
          <w:t>87</w:t>
        </w:r>
        <w:r w:rsidRPr="008F7A3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C2400" w:rsidRDefault="003C24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240" w:rsidRDefault="007B4240" w:rsidP="003C2400">
      <w:pPr>
        <w:spacing w:after="0" w:line="240" w:lineRule="auto"/>
      </w:pPr>
      <w:r>
        <w:separator/>
      </w:r>
    </w:p>
  </w:footnote>
  <w:footnote w:type="continuationSeparator" w:id="0">
    <w:p w:rsidR="007B4240" w:rsidRDefault="007B4240" w:rsidP="003C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C3630"/>
    <w:multiLevelType w:val="hybridMultilevel"/>
    <w:tmpl w:val="21A87774"/>
    <w:lvl w:ilvl="0" w:tplc="1D4C507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39"/>
    <w:rsid w:val="00012D51"/>
    <w:rsid w:val="00025994"/>
    <w:rsid w:val="0002650E"/>
    <w:rsid w:val="0004086D"/>
    <w:rsid w:val="000434CA"/>
    <w:rsid w:val="00045696"/>
    <w:rsid w:val="00045A9B"/>
    <w:rsid w:val="0005150F"/>
    <w:rsid w:val="00073B3D"/>
    <w:rsid w:val="00090B61"/>
    <w:rsid w:val="00091F0E"/>
    <w:rsid w:val="00096DAD"/>
    <w:rsid w:val="000C1465"/>
    <w:rsid w:val="000D2345"/>
    <w:rsid w:val="000D3EC3"/>
    <w:rsid w:val="000F50C6"/>
    <w:rsid w:val="000F5CD9"/>
    <w:rsid w:val="00100F8D"/>
    <w:rsid w:val="0010133F"/>
    <w:rsid w:val="00104D6F"/>
    <w:rsid w:val="00145EE5"/>
    <w:rsid w:val="00167CD8"/>
    <w:rsid w:val="00171B96"/>
    <w:rsid w:val="00172D35"/>
    <w:rsid w:val="00175509"/>
    <w:rsid w:val="00196F4D"/>
    <w:rsid w:val="001A4538"/>
    <w:rsid w:val="001B7E6C"/>
    <w:rsid w:val="001C207D"/>
    <w:rsid w:val="001D7BCB"/>
    <w:rsid w:val="001E217C"/>
    <w:rsid w:val="001E3491"/>
    <w:rsid w:val="001F32A6"/>
    <w:rsid w:val="002074EA"/>
    <w:rsid w:val="0020768A"/>
    <w:rsid w:val="002140DC"/>
    <w:rsid w:val="002951AF"/>
    <w:rsid w:val="002C6959"/>
    <w:rsid w:val="002D2DD3"/>
    <w:rsid w:val="002E1E33"/>
    <w:rsid w:val="002F069D"/>
    <w:rsid w:val="0030278B"/>
    <w:rsid w:val="0032622C"/>
    <w:rsid w:val="00327068"/>
    <w:rsid w:val="0034337A"/>
    <w:rsid w:val="00362ACC"/>
    <w:rsid w:val="00384F38"/>
    <w:rsid w:val="00386A40"/>
    <w:rsid w:val="003C2400"/>
    <w:rsid w:val="003D0E7C"/>
    <w:rsid w:val="004054C6"/>
    <w:rsid w:val="004103B6"/>
    <w:rsid w:val="00411AD5"/>
    <w:rsid w:val="00430745"/>
    <w:rsid w:val="00433080"/>
    <w:rsid w:val="004407E9"/>
    <w:rsid w:val="004443E5"/>
    <w:rsid w:val="004509BF"/>
    <w:rsid w:val="0045133C"/>
    <w:rsid w:val="00457490"/>
    <w:rsid w:val="00483824"/>
    <w:rsid w:val="00492E6D"/>
    <w:rsid w:val="004B29ED"/>
    <w:rsid w:val="004B3393"/>
    <w:rsid w:val="004B6191"/>
    <w:rsid w:val="004C0A28"/>
    <w:rsid w:val="004E596C"/>
    <w:rsid w:val="004F2AC3"/>
    <w:rsid w:val="00505429"/>
    <w:rsid w:val="00510BDE"/>
    <w:rsid w:val="00511012"/>
    <w:rsid w:val="005173AE"/>
    <w:rsid w:val="00535825"/>
    <w:rsid w:val="005369A6"/>
    <w:rsid w:val="005553DC"/>
    <w:rsid w:val="00560187"/>
    <w:rsid w:val="00565B1F"/>
    <w:rsid w:val="0057022B"/>
    <w:rsid w:val="00573F78"/>
    <w:rsid w:val="00575E53"/>
    <w:rsid w:val="005763A3"/>
    <w:rsid w:val="00581A18"/>
    <w:rsid w:val="00581EB2"/>
    <w:rsid w:val="0058661D"/>
    <w:rsid w:val="005A3A61"/>
    <w:rsid w:val="005B74E1"/>
    <w:rsid w:val="005D7478"/>
    <w:rsid w:val="005F7B07"/>
    <w:rsid w:val="00614486"/>
    <w:rsid w:val="006169BE"/>
    <w:rsid w:val="006237B8"/>
    <w:rsid w:val="00624D35"/>
    <w:rsid w:val="0065308A"/>
    <w:rsid w:val="00655F0C"/>
    <w:rsid w:val="00675F45"/>
    <w:rsid w:val="00683A49"/>
    <w:rsid w:val="00687F9F"/>
    <w:rsid w:val="006930F2"/>
    <w:rsid w:val="006957CA"/>
    <w:rsid w:val="006A6CE9"/>
    <w:rsid w:val="006B4B75"/>
    <w:rsid w:val="006B7E5E"/>
    <w:rsid w:val="00721CF1"/>
    <w:rsid w:val="0072323A"/>
    <w:rsid w:val="00734645"/>
    <w:rsid w:val="007504AA"/>
    <w:rsid w:val="00757FB4"/>
    <w:rsid w:val="007630AA"/>
    <w:rsid w:val="00766761"/>
    <w:rsid w:val="007701DE"/>
    <w:rsid w:val="00773114"/>
    <w:rsid w:val="0077579F"/>
    <w:rsid w:val="00786B28"/>
    <w:rsid w:val="007A6439"/>
    <w:rsid w:val="007B4240"/>
    <w:rsid w:val="007E2DF0"/>
    <w:rsid w:val="008227A5"/>
    <w:rsid w:val="00864BDF"/>
    <w:rsid w:val="00865396"/>
    <w:rsid w:val="008662A7"/>
    <w:rsid w:val="008936D3"/>
    <w:rsid w:val="008C26C7"/>
    <w:rsid w:val="008F7A36"/>
    <w:rsid w:val="00910DCA"/>
    <w:rsid w:val="009116CA"/>
    <w:rsid w:val="00915793"/>
    <w:rsid w:val="009434C2"/>
    <w:rsid w:val="00945E5A"/>
    <w:rsid w:val="009708CD"/>
    <w:rsid w:val="0098654D"/>
    <w:rsid w:val="009974E2"/>
    <w:rsid w:val="009A54CE"/>
    <w:rsid w:val="009B1A37"/>
    <w:rsid w:val="009B7FD5"/>
    <w:rsid w:val="009C68AC"/>
    <w:rsid w:val="009F2948"/>
    <w:rsid w:val="00A26E57"/>
    <w:rsid w:val="00A3080B"/>
    <w:rsid w:val="00A52E33"/>
    <w:rsid w:val="00A535FB"/>
    <w:rsid w:val="00A730B1"/>
    <w:rsid w:val="00AD692F"/>
    <w:rsid w:val="00AD7551"/>
    <w:rsid w:val="00AF4D1F"/>
    <w:rsid w:val="00B25BC4"/>
    <w:rsid w:val="00B35337"/>
    <w:rsid w:val="00B45C07"/>
    <w:rsid w:val="00B52A9D"/>
    <w:rsid w:val="00B52B5B"/>
    <w:rsid w:val="00B836B7"/>
    <w:rsid w:val="00BA0DE1"/>
    <w:rsid w:val="00BA3139"/>
    <w:rsid w:val="00BB4A0D"/>
    <w:rsid w:val="00BC2131"/>
    <w:rsid w:val="00BC7429"/>
    <w:rsid w:val="00BD1CAD"/>
    <w:rsid w:val="00C06713"/>
    <w:rsid w:val="00C26D99"/>
    <w:rsid w:val="00C34B2C"/>
    <w:rsid w:val="00C55026"/>
    <w:rsid w:val="00C62680"/>
    <w:rsid w:val="00C63CE4"/>
    <w:rsid w:val="00C646D8"/>
    <w:rsid w:val="00C65510"/>
    <w:rsid w:val="00C85222"/>
    <w:rsid w:val="00CA1FA0"/>
    <w:rsid w:val="00CA6087"/>
    <w:rsid w:val="00CE6171"/>
    <w:rsid w:val="00CF4DED"/>
    <w:rsid w:val="00D049D6"/>
    <w:rsid w:val="00D110CB"/>
    <w:rsid w:val="00D2304F"/>
    <w:rsid w:val="00D277F5"/>
    <w:rsid w:val="00D36720"/>
    <w:rsid w:val="00D839DA"/>
    <w:rsid w:val="00D91173"/>
    <w:rsid w:val="00DC727B"/>
    <w:rsid w:val="00DD066C"/>
    <w:rsid w:val="00DF010A"/>
    <w:rsid w:val="00E062FB"/>
    <w:rsid w:val="00E259BF"/>
    <w:rsid w:val="00E63B67"/>
    <w:rsid w:val="00E900FE"/>
    <w:rsid w:val="00E96289"/>
    <w:rsid w:val="00EA2554"/>
    <w:rsid w:val="00EC000A"/>
    <w:rsid w:val="00ED10B7"/>
    <w:rsid w:val="00EE0852"/>
    <w:rsid w:val="00EE7C3D"/>
    <w:rsid w:val="00EE7EE9"/>
    <w:rsid w:val="00F15792"/>
    <w:rsid w:val="00F23E87"/>
    <w:rsid w:val="00F3477E"/>
    <w:rsid w:val="00F37CFA"/>
    <w:rsid w:val="00F52AAE"/>
    <w:rsid w:val="00F60281"/>
    <w:rsid w:val="00F67B39"/>
    <w:rsid w:val="00F71E32"/>
    <w:rsid w:val="00F72DD4"/>
    <w:rsid w:val="00F76118"/>
    <w:rsid w:val="00F9377D"/>
    <w:rsid w:val="00FA6B2D"/>
    <w:rsid w:val="00FB3139"/>
    <w:rsid w:val="00FB47C3"/>
    <w:rsid w:val="00FC237F"/>
    <w:rsid w:val="00FD0BA2"/>
    <w:rsid w:val="00FD759B"/>
    <w:rsid w:val="00FE4595"/>
    <w:rsid w:val="00FE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F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1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AD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369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369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1B7E6C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7731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0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0B1"/>
    <w:rPr>
      <w:b/>
      <w:bCs/>
    </w:rPr>
  </w:style>
  <w:style w:type="paragraph" w:styleId="Poprawka">
    <w:name w:val="Revision"/>
    <w:hidden/>
    <w:uiPriority w:val="99"/>
    <w:semiHidden/>
    <w:rsid w:val="002C695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3C2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C2400"/>
  </w:style>
  <w:style w:type="paragraph" w:styleId="Stopka">
    <w:name w:val="footer"/>
    <w:basedOn w:val="Normalny"/>
    <w:link w:val="StopkaZnak"/>
    <w:uiPriority w:val="99"/>
    <w:unhideWhenUsed/>
    <w:rsid w:val="003C2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5-12_d&#322;ugotrwale_bezrobotni\wiek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5-12_d&#322;ugotrwale_bezrobotni\zawod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status_ost_p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status_ost_p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5-12_d&#322;ugotrwale_bezrobotni\wie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bezrobocie%20d&#322;ugotrwa&#322;e\pomocny%20do%20oblicze&#32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bezrobocie%20d&#322;ugotrwa&#322;e\pomocny%20do%20oblicze&#324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bezrobocie%20d&#322;ugotrwa&#322;e\pomocny%20do%20oblicze&#324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bezrobocie%20d&#322;ugotrwa&#322;e\pomocny%20do%20oblicze&#324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arysekW\Ustawienia%20lokalne\Temporary%20Internet%20Files\Content.Outlook\6NDRW635\wykszta&#322;cenie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5-12_d&#322;ugotrwale_bezrobotni\do&#347;wiadczenie%20zawodow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6781870387007047"/>
          <c:y val="3.9111111111111194E-2"/>
          <c:w val="0.78296429389279354"/>
          <c:h val="0.74694859142607406"/>
        </c:manualLayout>
      </c:layout>
      <c:bar3DChart>
        <c:barDir val="col"/>
        <c:grouping val="clustered"/>
        <c:ser>
          <c:idx val="0"/>
          <c:order val="0"/>
          <c:tx>
            <c:strRef>
              <c:f>Arkusz1!$B$33</c:f>
              <c:strCache>
                <c:ptCount val="1"/>
                <c:pt idx="0">
                  <c:v>bezrobotni poszukujący pracy do 12 miesięcy</c:v>
                </c:pt>
              </c:strCache>
            </c:strRef>
          </c:tx>
          <c:dLbls>
            <c:dLbl>
              <c:idx val="0"/>
              <c:layout>
                <c:manualLayout>
                  <c:x val="2.9952262678574697E-2"/>
                  <c:y val="-1.3857147856517961E-2"/>
                </c:manualLayout>
              </c:layout>
              <c:showVal val="1"/>
            </c:dLbl>
            <c:dLbl>
              <c:idx val="1"/>
              <c:layout>
                <c:manualLayout>
                  <c:x val="2.4506332681569296E-2"/>
                  <c:y val="-1.1772528433945805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Arkusz1!$A$34:$A$35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Arkusz1!$B$34:$B$35</c:f>
              <c:numCache>
                <c:formatCode>General</c:formatCode>
                <c:ptCount val="2"/>
                <c:pt idx="0">
                  <c:v>75.900000000000006</c:v>
                </c:pt>
                <c:pt idx="1">
                  <c:v>75.400000000000006</c:v>
                </c:pt>
              </c:numCache>
            </c:numRef>
          </c:val>
        </c:ser>
        <c:ser>
          <c:idx val="1"/>
          <c:order val="1"/>
          <c:tx>
            <c:strRef>
              <c:f>Arkusz1!$C$33</c:f>
              <c:strCache>
                <c:ptCount val="1"/>
                <c:pt idx="0">
                  <c:v>bezrobotni poszukujący pracy poyżej 12 miesięcy</c:v>
                </c:pt>
              </c:strCache>
            </c:strRef>
          </c:tx>
          <c:dLbls>
            <c:dLbl>
              <c:idx val="0"/>
              <c:layout>
                <c:manualLayout>
                  <c:x val="3.6177843541369575E-2"/>
                  <c:y val="-1.5941487314085883E-2"/>
                </c:manualLayout>
              </c:layout>
              <c:showVal val="1"/>
            </c:dLbl>
            <c:dLbl>
              <c:idx val="1"/>
              <c:layout>
                <c:manualLayout>
                  <c:x val="2.8590604026845719E-2"/>
                  <c:y val="-1.7412703412073505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Arkusz1!$A$34:$A$35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Arkusz1!$C$34:$C$35</c:f>
              <c:numCache>
                <c:formatCode>General</c:formatCode>
                <c:ptCount val="2"/>
                <c:pt idx="0">
                  <c:v>24.1</c:v>
                </c:pt>
                <c:pt idx="1">
                  <c:v>24.6</c:v>
                </c:pt>
              </c:numCache>
            </c:numRef>
          </c:val>
        </c:ser>
        <c:dLbls>
          <c:showVal val="1"/>
        </c:dLbls>
        <c:shape val="box"/>
        <c:axId val="113155072"/>
        <c:axId val="116811264"/>
        <c:axId val="0"/>
      </c:bar3DChart>
      <c:catAx>
        <c:axId val="11315507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16811264"/>
        <c:crosses val="autoZero"/>
        <c:auto val="1"/>
        <c:lblAlgn val="ctr"/>
        <c:lblOffset val="100"/>
      </c:catAx>
      <c:valAx>
        <c:axId val="11681126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>
                    <a:latin typeface="Times New Roman" pitchFamily="18" charset="0"/>
                    <a:cs typeface="Times New Roman" pitchFamily="18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3.0127757209156798E-2"/>
              <c:y val="0.79297672897270743"/>
            </c:manualLayout>
          </c:layout>
        </c:title>
        <c:numFmt formatCode="#,##0.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13155072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8094719646937804"/>
          <c:y val="0.22299954487644938"/>
          <c:w val="0.6149607394865596"/>
          <c:h val="0.5998579318614466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9.4286186763003571E-2"/>
                  <c:y val="-3.7085697621130967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1"/>
              <c:layout>
                <c:manualLayout>
                  <c:x val="0.27283629933980669"/>
                  <c:y val="-5.5703037120360246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2"/>
              <c:layout>
                <c:manualLayout>
                  <c:x val="0.11265736370998818"/>
                  <c:y val="1.0548348123151256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3"/>
              <c:layout>
                <c:manualLayout>
                  <c:x val="5.7181382214137613E-2"/>
                  <c:y val="4.6944798566845795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4"/>
              <c:layout>
                <c:manualLayout>
                  <c:x val="5.0228543507098156E-2"/>
                  <c:y val="4.3772611540969113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5"/>
              <c:layout>
                <c:manualLayout>
                  <c:x val="3.8583300255419811E-2"/>
                  <c:y val="1.5060720893966881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4.7651197947900424E-2"/>
                  <c:y val="2.9181741027312202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6.8828760152685062E-2"/>
                  <c:y val="-2.3442224251189775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8"/>
              <c:layout>
                <c:manualLayout>
                  <c:x val="-0.16880613876296713"/>
                  <c:y val="-9.3862624532372568E-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9"/>
              <c:layout>
                <c:manualLayout>
                  <c:x val="-0.11311220939023564"/>
                  <c:y val="-0.10307119252119012"/>
                </c:manualLayout>
              </c:layout>
              <c:dLblPos val="bestFit"/>
              <c:showVal val="1"/>
              <c:showCatName val="1"/>
              <c:separator>
</c:separator>
            </c:dLbl>
            <c:dLbl>
              <c:idx val="10"/>
              <c:layout>
                <c:manualLayout>
                  <c:x val="9.5302395895800768E-3"/>
                  <c:y val="-0.18342808645739664"/>
                </c:manualLayout>
              </c:layout>
              <c:dLblPos val="bestFit"/>
              <c:showVal val="1"/>
              <c:showCatName val="1"/>
              <c:separator>
</c:separator>
            </c:dLbl>
            <c:numFmt formatCode="#,##0.0&quot;%&quot;" sourceLinked="0"/>
            <c:spPr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  <c:showCatName val="1"/>
            <c:separator>
</c:separator>
            <c:showLeaderLines val="1"/>
          </c:dLbls>
          <c:cat>
            <c:strRef>
              <c:f>Arkusz3!$B$52:$B$62</c:f>
              <c:strCache>
                <c:ptCount val="11"/>
                <c:pt idx="0">
                  <c:v>Przedstawiciele władz publicznych, wyżsi urzędnicy i kierownicy</c:v>
                </c:pt>
                <c:pt idx="1">
                  <c:v>Specjaliści</c:v>
                </c:pt>
                <c:pt idx="2">
                  <c:v>Technicy i inny średni personel</c:v>
                </c:pt>
                <c:pt idx="3">
                  <c:v>Pracownicy biurowi</c:v>
                </c:pt>
                <c:pt idx="4">
                  <c:v>Pracownicy usług osobistych i sprzedawcy</c:v>
                </c:pt>
                <c:pt idx="5">
                  <c:v>Rolnicy, ogrodnicy, leśnicy i rybacy</c:v>
                </c:pt>
                <c:pt idx="6">
                  <c:v>Robotnicy przemysłowi i rzemieślnicy</c:v>
                </c:pt>
                <c:pt idx="7">
                  <c:v>Operatorzy i monterzy maszyn i urządzeń</c:v>
                </c:pt>
                <c:pt idx="8">
                  <c:v>Pracownicy przy pracach prostych</c:v>
                </c:pt>
                <c:pt idx="9">
                  <c:v>Siły zbrojne</c:v>
                </c:pt>
                <c:pt idx="10">
                  <c:v>Zawód nieustalony</c:v>
                </c:pt>
              </c:strCache>
            </c:strRef>
          </c:cat>
          <c:val>
            <c:numRef>
              <c:f>Arkusz3!$C$52:$C$62</c:f>
              <c:numCache>
                <c:formatCode>0.0</c:formatCode>
                <c:ptCount val="11"/>
                <c:pt idx="0">
                  <c:v>2.8</c:v>
                </c:pt>
                <c:pt idx="1">
                  <c:v>5.7</c:v>
                </c:pt>
                <c:pt idx="2">
                  <c:v>10.5</c:v>
                </c:pt>
                <c:pt idx="3">
                  <c:v>7.5</c:v>
                </c:pt>
                <c:pt idx="4">
                  <c:v>20.399999999999999</c:v>
                </c:pt>
                <c:pt idx="5">
                  <c:v>1.8</c:v>
                </c:pt>
                <c:pt idx="6">
                  <c:v>29.3</c:v>
                </c:pt>
                <c:pt idx="7">
                  <c:v>8.5</c:v>
                </c:pt>
                <c:pt idx="8">
                  <c:v>11.8</c:v>
                </c:pt>
                <c:pt idx="9">
                  <c:v>0.2</c:v>
                </c:pt>
                <c:pt idx="10">
                  <c:v>1.5</c:v>
                </c:pt>
              </c:numCache>
            </c:numRef>
          </c:val>
        </c:ser>
        <c:dLbls>
          <c:showVal val="1"/>
        </c:dLbls>
      </c:pie3DChart>
    </c:plotArea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7445952361756828"/>
          <c:y val="3.7124535943300709E-2"/>
          <c:w val="0.77548359356104379"/>
          <c:h val="0.56937032870891136"/>
        </c:manualLayout>
      </c:layout>
      <c:bar3DChart>
        <c:barDir val="col"/>
        <c:grouping val="percentStacked"/>
        <c:ser>
          <c:idx val="0"/>
          <c:order val="0"/>
          <c:tx>
            <c:strRef>
              <c:f>'result.srx'!$C$40</c:f>
              <c:strCache>
                <c:ptCount val="1"/>
                <c:pt idx="0">
                  <c:v>Pracownicy najemni</c:v>
                </c:pt>
              </c:strCache>
            </c:strRef>
          </c:tx>
          <c:cat>
            <c:strRef>
              <c:f>'result.srx'!$A$41:$B$42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'result.srx'!$C$41:$C$42</c:f>
              <c:numCache>
                <c:formatCode>0.0</c:formatCode>
                <c:ptCount val="2"/>
                <c:pt idx="0">
                  <c:v>90.2</c:v>
                </c:pt>
                <c:pt idx="1">
                  <c:v>93</c:v>
                </c:pt>
              </c:numCache>
            </c:numRef>
          </c:val>
        </c:ser>
        <c:ser>
          <c:idx val="1"/>
          <c:order val="1"/>
          <c:tx>
            <c:strRef>
              <c:f>'result.srx'!$D$40</c:f>
              <c:strCache>
                <c:ptCount val="1"/>
                <c:pt idx="0">
                  <c:v>Pracodawcy</c:v>
                </c:pt>
              </c:strCache>
            </c:strRef>
          </c:tx>
          <c:cat>
            <c:strRef>
              <c:f>'result.srx'!$A$41:$B$42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'result.srx'!$D$41:$D$42</c:f>
              <c:numCache>
                <c:formatCode>0.0</c:formatCode>
                <c:ptCount val="2"/>
                <c:pt idx="0">
                  <c:v>1.9000000000000001</c:v>
                </c:pt>
                <c:pt idx="1">
                  <c:v>1.5</c:v>
                </c:pt>
              </c:numCache>
            </c:numRef>
          </c:val>
        </c:ser>
        <c:ser>
          <c:idx val="2"/>
          <c:order val="2"/>
          <c:tx>
            <c:strRef>
              <c:f>'result.srx'!$E$40</c:f>
              <c:strCache>
                <c:ptCount val="1"/>
                <c:pt idx="0">
                  <c:v>Pracujący na własny rachunek (niezatrudniający pracowników) </c:v>
                </c:pt>
              </c:strCache>
            </c:strRef>
          </c:tx>
          <c:cat>
            <c:strRef>
              <c:f>'result.srx'!$A$41:$B$42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'result.srx'!$E$41:$E$42</c:f>
              <c:numCache>
                <c:formatCode>0.0</c:formatCode>
                <c:ptCount val="2"/>
                <c:pt idx="0">
                  <c:v>7.4</c:v>
                </c:pt>
                <c:pt idx="1">
                  <c:v>4.8</c:v>
                </c:pt>
              </c:numCache>
            </c:numRef>
          </c:val>
        </c:ser>
        <c:ser>
          <c:idx val="3"/>
          <c:order val="3"/>
          <c:tx>
            <c:strRef>
              <c:f>'result.srx'!$F$40</c:f>
              <c:strCache>
                <c:ptCount val="1"/>
                <c:pt idx="0">
                  <c:v>Pomagający członkowie rodzin </c:v>
                </c:pt>
              </c:strCache>
            </c:strRef>
          </c:tx>
          <c:cat>
            <c:strRef>
              <c:f>'result.srx'!$A$41:$B$42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'result.srx'!$F$41:$F$42</c:f>
              <c:numCache>
                <c:formatCode>0.0</c:formatCode>
                <c:ptCount val="2"/>
                <c:pt idx="0">
                  <c:v>0.5</c:v>
                </c:pt>
                <c:pt idx="1">
                  <c:v>0.70000000000000062</c:v>
                </c:pt>
              </c:numCache>
            </c:numRef>
          </c:val>
        </c:ser>
        <c:shape val="box"/>
        <c:axId val="146556416"/>
        <c:axId val="146557952"/>
        <c:axId val="0"/>
      </c:bar3DChart>
      <c:catAx>
        <c:axId val="146556416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6557952"/>
        <c:crosses val="autoZero"/>
        <c:auto val="1"/>
        <c:lblAlgn val="ctr"/>
        <c:lblOffset val="100"/>
      </c:catAx>
      <c:valAx>
        <c:axId val="146557952"/>
        <c:scaling>
          <c:orientation val="minMax"/>
          <c:min val="0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65564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"/>
          <c:y val="0.66049218847644042"/>
          <c:w val="0.97450502987467869"/>
          <c:h val="0.33950781152356008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7038880139982501"/>
          <c:y val="3.7124535943300709E-2"/>
          <c:w val="0.7807223097112842"/>
          <c:h val="0.5628865066565476"/>
        </c:manualLayout>
      </c:layout>
      <c:bar3DChart>
        <c:barDir val="col"/>
        <c:grouping val="percentStacked"/>
        <c:ser>
          <c:idx val="0"/>
          <c:order val="0"/>
          <c:tx>
            <c:strRef>
              <c:f>'result.srx'!$C$45</c:f>
              <c:strCache>
                <c:ptCount val="1"/>
                <c:pt idx="0">
                  <c:v>Pracownicy najemni</c:v>
                </c:pt>
              </c:strCache>
            </c:strRef>
          </c:tx>
          <c:cat>
            <c:strRef>
              <c:f>'result.srx'!$A$46:$B$47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'result.srx'!$C$46:$C$47</c:f>
              <c:numCache>
                <c:formatCode>0.0</c:formatCode>
                <c:ptCount val="2"/>
                <c:pt idx="0">
                  <c:v>90.9</c:v>
                </c:pt>
                <c:pt idx="1">
                  <c:v>92.9</c:v>
                </c:pt>
              </c:numCache>
            </c:numRef>
          </c:val>
        </c:ser>
        <c:ser>
          <c:idx val="1"/>
          <c:order val="1"/>
          <c:tx>
            <c:strRef>
              <c:f>'result.srx'!$D$45</c:f>
              <c:strCache>
                <c:ptCount val="1"/>
                <c:pt idx="0">
                  <c:v>Pracodawcy</c:v>
                </c:pt>
              </c:strCache>
            </c:strRef>
          </c:tx>
          <c:cat>
            <c:strRef>
              <c:f>'result.srx'!$A$46:$B$47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'result.srx'!$D$46:$D$47</c:f>
              <c:numCache>
                <c:formatCode>0.0</c:formatCode>
                <c:ptCount val="2"/>
                <c:pt idx="0">
                  <c:v>1.9000000000000001</c:v>
                </c:pt>
                <c:pt idx="1">
                  <c:v>1.2</c:v>
                </c:pt>
              </c:numCache>
            </c:numRef>
          </c:val>
        </c:ser>
        <c:ser>
          <c:idx val="2"/>
          <c:order val="2"/>
          <c:tx>
            <c:strRef>
              <c:f>'result.srx'!$E$45</c:f>
              <c:strCache>
                <c:ptCount val="1"/>
                <c:pt idx="0">
                  <c:v>Pracujący na własny rachunek (niezatrudniający pracowników) </c:v>
                </c:pt>
              </c:strCache>
            </c:strRef>
          </c:tx>
          <c:cat>
            <c:strRef>
              <c:f>'result.srx'!$A$46:$B$47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'result.srx'!$E$46:$E$47</c:f>
              <c:numCache>
                <c:formatCode>0.0</c:formatCode>
                <c:ptCount val="2"/>
                <c:pt idx="0">
                  <c:v>6.7</c:v>
                </c:pt>
                <c:pt idx="1">
                  <c:v>5.2</c:v>
                </c:pt>
              </c:numCache>
            </c:numRef>
          </c:val>
        </c:ser>
        <c:ser>
          <c:idx val="3"/>
          <c:order val="3"/>
          <c:tx>
            <c:strRef>
              <c:f>'result.srx'!$F$45</c:f>
              <c:strCache>
                <c:ptCount val="1"/>
                <c:pt idx="0">
                  <c:v>Pomagający członkowie rodzin </c:v>
                </c:pt>
              </c:strCache>
            </c:strRef>
          </c:tx>
          <c:cat>
            <c:strRef>
              <c:f>'result.srx'!$A$46:$B$47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'result.srx'!$F$46:$F$47</c:f>
              <c:numCache>
                <c:formatCode>0.0</c:formatCode>
                <c:ptCount val="2"/>
                <c:pt idx="0">
                  <c:v>0.5</c:v>
                </c:pt>
                <c:pt idx="1">
                  <c:v>0.70000000000000062</c:v>
                </c:pt>
              </c:numCache>
            </c:numRef>
          </c:val>
        </c:ser>
        <c:shape val="box"/>
        <c:axId val="146678912"/>
        <c:axId val="146680448"/>
        <c:axId val="0"/>
      </c:bar3DChart>
      <c:catAx>
        <c:axId val="14667891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6680448"/>
        <c:crosses val="autoZero"/>
        <c:auto val="1"/>
        <c:lblAlgn val="ctr"/>
        <c:lblOffset val="100"/>
      </c:catAx>
      <c:valAx>
        <c:axId val="146680448"/>
        <c:scaling>
          <c:orientation val="minMax"/>
          <c:min val="0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66789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"/>
          <c:y val="0.65027075230054221"/>
          <c:w val="0.97398880139982691"/>
          <c:h val="0.34972924769945968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6781870387007039"/>
          <c:y val="3.8903625110521672E-2"/>
          <c:w val="0.78296429389279354"/>
          <c:h val="0.74829103921691564"/>
        </c:manualLayout>
      </c:layout>
      <c:bar3DChart>
        <c:barDir val="col"/>
        <c:grouping val="clustered"/>
        <c:ser>
          <c:idx val="0"/>
          <c:order val="0"/>
          <c:tx>
            <c:strRef>
              <c:f>Arkusz1!$B$37</c:f>
              <c:strCache>
                <c:ptCount val="1"/>
                <c:pt idx="0">
                  <c:v>bezrobotni poszukujący pracy do 12 miesięcy</c:v>
                </c:pt>
              </c:strCache>
            </c:strRef>
          </c:tx>
          <c:dLbls>
            <c:dLbl>
              <c:idx val="0"/>
              <c:layout>
                <c:manualLayout>
                  <c:x val="1.9252408885130981E-2"/>
                  <c:y val="-1.04900547908965E-2"/>
                </c:manualLayout>
              </c:layout>
              <c:showVal val="1"/>
            </c:dLbl>
            <c:dLbl>
              <c:idx val="1"/>
              <c:layout>
                <c:manualLayout>
                  <c:x val="1.9641353555637824E-2"/>
                  <c:y val="2.2044459296699319E-3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Arkusz1!$A$38:$A$39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Arkusz1!$B$38:$B$39</c:f>
              <c:numCache>
                <c:formatCode>General</c:formatCode>
                <c:ptCount val="2"/>
                <c:pt idx="0">
                  <c:v>74.7</c:v>
                </c:pt>
                <c:pt idx="1">
                  <c:v>77.400000000000006</c:v>
                </c:pt>
              </c:numCache>
            </c:numRef>
          </c:val>
        </c:ser>
        <c:ser>
          <c:idx val="1"/>
          <c:order val="1"/>
          <c:tx>
            <c:strRef>
              <c:f>Arkusz1!$C$37</c:f>
              <c:strCache>
                <c:ptCount val="1"/>
                <c:pt idx="0">
                  <c:v>bezrobotni poszukujący pracy poyżej 12 miesięcy</c:v>
                </c:pt>
              </c:strCache>
            </c:strRef>
          </c:tx>
          <c:dLbls>
            <c:dLbl>
              <c:idx val="0"/>
              <c:layout>
                <c:manualLayout>
                  <c:x val="2.7229297680072036E-2"/>
                  <c:y val="-1.04900547908965E-2"/>
                </c:manualLayout>
              </c:layout>
              <c:showVal val="1"/>
            </c:dLbl>
            <c:dLbl>
              <c:idx val="1"/>
              <c:layout>
                <c:manualLayout>
                  <c:x val="2.995226267857469E-2"/>
                  <c:y val="-1.6743318225805444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Arkusz1!$A$38:$A$39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Arkusz1!$C$38:$C$39</c:f>
              <c:numCache>
                <c:formatCode>General</c:formatCode>
                <c:ptCount val="2"/>
                <c:pt idx="0">
                  <c:v>25.3</c:v>
                </c:pt>
                <c:pt idx="1">
                  <c:v>22.6</c:v>
                </c:pt>
              </c:numCache>
            </c:numRef>
          </c:val>
        </c:ser>
        <c:dLbls>
          <c:showVal val="1"/>
        </c:dLbls>
        <c:shape val="box"/>
        <c:axId val="119603584"/>
        <c:axId val="119605504"/>
        <c:axId val="0"/>
      </c:bar3DChart>
      <c:catAx>
        <c:axId val="11960358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19605504"/>
        <c:crosses val="autoZero"/>
        <c:auto val="1"/>
        <c:lblAlgn val="ctr"/>
        <c:lblOffset val="100"/>
      </c:catAx>
      <c:valAx>
        <c:axId val="11960550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en-US">
                    <a:latin typeface="Times New Roman" pitchFamily="18" charset="0"/>
                    <a:cs typeface="Times New Roman" pitchFamily="18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2.8238961597377163E-3"/>
              <c:y val="0.79569078034429985"/>
            </c:manualLayout>
          </c:layout>
        </c:title>
        <c:numFmt formatCode="#,##0.0" sourceLinked="0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19603584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25624738243459372"/>
          <c:y val="5.0925925925925923E-2"/>
          <c:w val="0.66950472346191381"/>
          <c:h val="0.82583189398953893"/>
        </c:manualLayout>
      </c:layout>
      <c:barChart>
        <c:barDir val="bar"/>
        <c:grouping val="clustered"/>
        <c:ser>
          <c:idx val="0"/>
          <c:order val="0"/>
          <c:cat>
            <c:strRef>
              <c:f>Arkusz1!$F$4:$F$19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Arkusz1!$G$4:$G$19</c:f>
              <c:numCache>
                <c:formatCode>0.0</c:formatCode>
                <c:ptCount val="16"/>
                <c:pt idx="0">
                  <c:v>23.062898814949829</c:v>
                </c:pt>
                <c:pt idx="1">
                  <c:v>23.33125389893949</c:v>
                </c:pt>
                <c:pt idx="2">
                  <c:v>22.927328556806547</c:v>
                </c:pt>
                <c:pt idx="3">
                  <c:v>23.388116308470131</c:v>
                </c:pt>
                <c:pt idx="4">
                  <c:v>24.978089395267098</c:v>
                </c:pt>
                <c:pt idx="5">
                  <c:v>22.789943227899432</c:v>
                </c:pt>
                <c:pt idx="6">
                  <c:v>26.094003241491087</c:v>
                </c:pt>
                <c:pt idx="7">
                  <c:v>28.427575522850535</c:v>
                </c:pt>
                <c:pt idx="8">
                  <c:v>24.063116370808672</c:v>
                </c:pt>
                <c:pt idx="9">
                  <c:v>23.163606010016697</c:v>
                </c:pt>
                <c:pt idx="10">
                  <c:v>24.625407166123779</c:v>
                </c:pt>
                <c:pt idx="11">
                  <c:v>25.054784514243973</c:v>
                </c:pt>
                <c:pt idx="12">
                  <c:v>22.712418300653596</c:v>
                </c:pt>
                <c:pt idx="13">
                  <c:v>24.649629018961008</c:v>
                </c:pt>
                <c:pt idx="14">
                  <c:v>25.490196078431119</c:v>
                </c:pt>
                <c:pt idx="15">
                  <c:v>23.650697392359003</c:v>
                </c:pt>
              </c:numCache>
            </c:numRef>
          </c:val>
        </c:ser>
        <c:gapWidth val="81"/>
        <c:axId val="84736640"/>
        <c:axId val="88719744"/>
      </c:barChart>
      <c:catAx>
        <c:axId val="84736640"/>
        <c:scaling>
          <c:orientation val="minMax"/>
        </c:scaling>
        <c:axPos val="l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88719744"/>
        <c:crosses val="autoZero"/>
        <c:auto val="1"/>
        <c:lblAlgn val="ctr"/>
        <c:lblOffset val="100"/>
        <c:tickLblSkip val="1"/>
      </c:catAx>
      <c:valAx>
        <c:axId val="8871974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  <c:layout>
            <c:manualLayout>
              <c:xMode val="edge"/>
              <c:yMode val="edge"/>
              <c:x val="0.94444128599448562"/>
              <c:y val="0.89256922793807325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84736640"/>
        <c:crosses val="autoZero"/>
        <c:crossBetween val="between"/>
        <c:majorUnit val="5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Arkusz5!$J$22</c:f>
              <c:strCache>
                <c:ptCount val="1"/>
                <c:pt idx="0">
                  <c:v>mężczyźni</c:v>
                </c:pt>
              </c:strCache>
            </c:strRef>
          </c:tx>
          <c:cat>
            <c:strRef>
              <c:f>Arkusz5!$K$21:$P$21</c:f>
              <c:strCache>
                <c:ptCount val="6"/>
                <c:pt idx="0">
                  <c:v>15-24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lat i więcej</c:v>
                </c:pt>
              </c:strCache>
            </c:strRef>
          </c:cat>
          <c:val>
            <c:numRef>
              <c:f>Arkusz5!$K$22:$P$22</c:f>
              <c:numCache>
                <c:formatCode>0.0</c:formatCode>
                <c:ptCount val="6"/>
                <c:pt idx="0">
                  <c:v>13.269349633882324</c:v>
                </c:pt>
                <c:pt idx="1">
                  <c:v>20.776322862677755</c:v>
                </c:pt>
                <c:pt idx="2">
                  <c:v>26.365925236942122</c:v>
                </c:pt>
                <c:pt idx="3">
                  <c:v>32.525964891997596</c:v>
                </c:pt>
                <c:pt idx="4">
                  <c:v>37.027428018311802</c:v>
                </c:pt>
                <c:pt idx="5">
                  <c:v>27.947776417788656</c:v>
                </c:pt>
              </c:numCache>
            </c:numRef>
          </c:val>
        </c:ser>
        <c:ser>
          <c:idx val="1"/>
          <c:order val="1"/>
          <c:tx>
            <c:strRef>
              <c:f>Arkusz5!$J$23</c:f>
              <c:strCache>
                <c:ptCount val="1"/>
                <c:pt idx="0">
                  <c:v>kobiety</c:v>
                </c:pt>
              </c:strCache>
            </c:strRef>
          </c:tx>
          <c:cat>
            <c:strRef>
              <c:f>Arkusz5!$K$21:$P$21</c:f>
              <c:strCache>
                <c:ptCount val="6"/>
                <c:pt idx="0">
                  <c:v>15-24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lat i więcej</c:v>
                </c:pt>
              </c:strCache>
            </c:strRef>
          </c:cat>
          <c:val>
            <c:numRef>
              <c:f>Arkusz5!$K$23:$P$23</c:f>
              <c:numCache>
                <c:formatCode>0.0</c:formatCode>
                <c:ptCount val="6"/>
                <c:pt idx="0">
                  <c:v>12.42689086063702</c:v>
                </c:pt>
                <c:pt idx="1">
                  <c:v>20.353049849149489</c:v>
                </c:pt>
                <c:pt idx="2">
                  <c:v>28.070310179922782</c:v>
                </c:pt>
                <c:pt idx="3">
                  <c:v>36.214675848967012</c:v>
                </c:pt>
                <c:pt idx="4">
                  <c:v>39.175389942450636</c:v>
                </c:pt>
                <c:pt idx="5">
                  <c:v>25.492689129052764</c:v>
                </c:pt>
              </c:numCache>
            </c:numRef>
          </c:val>
        </c:ser>
        <c:axId val="113455488"/>
        <c:axId val="113457024"/>
      </c:barChart>
      <c:catAx>
        <c:axId val="113455488"/>
        <c:scaling>
          <c:orientation val="minMax"/>
        </c:scaling>
        <c:axPos val="t"/>
        <c:majorTickMark val="none"/>
        <c:tickLblPos val="none"/>
        <c:crossAx val="113457024"/>
        <c:crosses val="autoZero"/>
        <c:auto val="1"/>
        <c:lblAlgn val="ctr"/>
        <c:lblOffset val="100"/>
      </c:catAx>
      <c:valAx>
        <c:axId val="113457024"/>
        <c:scaling>
          <c:orientation val="maxMin"/>
        </c:scaling>
        <c:axPos val="l"/>
        <c:majorGridlines/>
        <c:title>
          <c:tx>
            <c:rich>
              <a:bodyPr/>
              <a:lstStyle/>
              <a:p>
                <a:pPr>
                  <a:defRPr sz="1000" b="0" baseline="0">
                    <a:latin typeface="Times New Roman" pitchFamily="18" charset="0"/>
                  </a:defRPr>
                </a:pPr>
                <a:r>
                  <a:rPr lang="pl-PL" sz="1000" b="0" baseline="0">
                    <a:latin typeface="Times New Roman" pitchFamily="18" charset="0"/>
                  </a:rPr>
                  <a:t>Udział długotrwale bezrobotnych    </a:t>
                </a:r>
              </a:p>
              <a:p>
                <a:pPr>
                  <a:defRPr sz="1000" b="0" baseline="0">
                    <a:latin typeface="Times New Roman" pitchFamily="18" charset="0"/>
                  </a:defRPr>
                </a:pPr>
                <a:r>
                  <a:rPr lang="pl-PL" sz="1000" b="0"/>
                  <a:t>w</a:t>
                </a:r>
                <a:r>
                  <a:rPr lang="pl-PL" sz="1000" b="0" baseline="0"/>
                  <a:t> </a:t>
                </a:r>
                <a:r>
                  <a:rPr lang="pl-PL" sz="1000" b="0"/>
                  <a:t>bezrobotnych</a:t>
                </a:r>
                <a:r>
                  <a:rPr lang="pl-PL" sz="1000" b="0" baseline="0">
                    <a:latin typeface="Times New Roman" pitchFamily="18" charset="0"/>
                  </a:rPr>
                  <a:t> ogółem w %</a:t>
                </a:r>
              </a:p>
            </c:rich>
          </c:tx>
          <c:layout>
            <c:manualLayout>
              <c:xMode val="edge"/>
              <c:yMode val="edge"/>
              <c:x val="1.6519174041298032E-2"/>
              <c:y val="0.21606979683095273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</a:defRPr>
            </a:pPr>
            <a:endParaRPr lang="pl-PL"/>
          </a:p>
        </c:txPr>
        <c:crossAx val="113455488"/>
        <c:crosses val="autoZero"/>
        <c:crossBetween val="between"/>
      </c:valAx>
    </c:plotArea>
    <c:legend>
      <c:legendPos val="r"/>
      <c:txPr>
        <a:bodyPr/>
        <a:lstStyle/>
        <a:p>
          <a:pPr>
            <a:defRPr sz="900" baseline="0">
              <a:latin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Arkusz5!$A$22</c:f>
              <c:strCache>
                <c:ptCount val="1"/>
                <c:pt idx="0">
                  <c:v>mężczyźni</c:v>
                </c:pt>
              </c:strCache>
            </c:strRef>
          </c:tx>
          <c:cat>
            <c:strRef>
              <c:f>Arkusz5!$B$21:$G$21</c:f>
              <c:strCache>
                <c:ptCount val="6"/>
                <c:pt idx="0">
                  <c:v>15-24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lat i więcej</c:v>
                </c:pt>
              </c:strCache>
            </c:strRef>
          </c:cat>
          <c:val>
            <c:numRef>
              <c:f>Arkusz5!$B$22:$G$22</c:f>
              <c:numCache>
                <c:formatCode>0.0</c:formatCode>
                <c:ptCount val="6"/>
                <c:pt idx="0">
                  <c:v>34.993000000000002</c:v>
                </c:pt>
                <c:pt idx="1">
                  <c:v>61.451999999999998</c:v>
                </c:pt>
                <c:pt idx="2">
                  <c:v>49.323</c:v>
                </c:pt>
                <c:pt idx="3">
                  <c:v>67.52</c:v>
                </c:pt>
                <c:pt idx="4">
                  <c:v>46.669000000000011</c:v>
                </c:pt>
                <c:pt idx="5">
                  <c:v>0.68500000000000005</c:v>
                </c:pt>
              </c:numCache>
            </c:numRef>
          </c:val>
        </c:ser>
        <c:ser>
          <c:idx val="1"/>
          <c:order val="1"/>
          <c:tx>
            <c:strRef>
              <c:f>Arkusz5!$A$23</c:f>
              <c:strCache>
                <c:ptCount val="1"/>
                <c:pt idx="0">
                  <c:v>kobiety</c:v>
                </c:pt>
              </c:strCache>
            </c:strRef>
          </c:tx>
          <c:cat>
            <c:strRef>
              <c:f>Arkusz5!$B$21:$G$21</c:f>
              <c:strCache>
                <c:ptCount val="6"/>
                <c:pt idx="0">
                  <c:v>15-24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55-64</c:v>
                </c:pt>
                <c:pt idx="5">
                  <c:v>65 lat i więcej</c:v>
                </c:pt>
              </c:strCache>
            </c:strRef>
          </c:cat>
          <c:val>
            <c:numRef>
              <c:f>Arkusz5!$B$23:$G$23</c:f>
              <c:numCache>
                <c:formatCode>0.0</c:formatCode>
                <c:ptCount val="6"/>
                <c:pt idx="0">
                  <c:v>28.024999999999999</c:v>
                </c:pt>
                <c:pt idx="1">
                  <c:v>57.949000000000005</c:v>
                </c:pt>
                <c:pt idx="2">
                  <c:v>54.823</c:v>
                </c:pt>
                <c:pt idx="3">
                  <c:v>71.674999999999983</c:v>
                </c:pt>
                <c:pt idx="4">
                  <c:v>24.437999999999999</c:v>
                </c:pt>
                <c:pt idx="5">
                  <c:v>0.40100000000000002</c:v>
                </c:pt>
              </c:numCache>
            </c:numRef>
          </c:val>
        </c:ser>
        <c:axId val="116844800"/>
        <c:axId val="116846592"/>
      </c:barChart>
      <c:catAx>
        <c:axId val="11684480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pl-PL"/>
          </a:p>
        </c:txPr>
        <c:crossAx val="116846592"/>
        <c:crosses val="autoZero"/>
        <c:auto val="1"/>
        <c:lblAlgn val="ctr"/>
        <c:lblOffset val="100"/>
      </c:catAx>
      <c:valAx>
        <c:axId val="1168465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900" b="0" baseline="0">
                    <a:latin typeface="Times New Roman" pitchFamily="18" charset="0"/>
                  </a:defRPr>
                </a:pPr>
                <a:endParaRPr lang="pl-PL" sz="900" b="0" baseline="0">
                  <a:latin typeface="Times New Roman" pitchFamily="18" charset="0"/>
                </a:endParaRPr>
              </a:p>
              <a:p>
                <a:pPr>
                  <a:defRPr sz="900" b="0" baseline="0">
                    <a:latin typeface="Times New Roman" pitchFamily="18" charset="0"/>
                  </a:defRPr>
                </a:pPr>
                <a:r>
                  <a:rPr lang="pl-PL" sz="900" b="0" baseline="0">
                    <a:latin typeface="Times New Roman" pitchFamily="18" charset="0"/>
                  </a:rPr>
                  <a:t>Liczba długotrwale </a:t>
                </a:r>
                <a:r>
                  <a:rPr lang="pl-PL" sz="1000" b="0" baseline="0">
                    <a:latin typeface="Times New Roman" pitchFamily="18" charset="0"/>
                  </a:rPr>
                  <a:t>bezrobotnych</a:t>
                </a:r>
                <a:r>
                  <a:rPr lang="pl-PL" sz="900" b="0" baseline="0">
                    <a:latin typeface="Times New Roman" pitchFamily="18" charset="0"/>
                  </a:rPr>
                  <a:t> w tys.</a:t>
                </a:r>
              </a:p>
            </c:rich>
          </c:tx>
          <c:layout>
            <c:manualLayout>
              <c:xMode val="edge"/>
              <c:yMode val="edge"/>
              <c:x val="1.0422874131884028E-2"/>
              <c:y val="0.14490651631509024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</a:defRPr>
            </a:pPr>
            <a:endParaRPr lang="pl-PL"/>
          </a:p>
        </c:txPr>
        <c:crossAx val="116844800"/>
        <c:crosses val="autoZero"/>
        <c:crossBetween val="between"/>
      </c:valAx>
    </c:plotArea>
    <c:legend>
      <c:legendPos val="r"/>
      <c:txPr>
        <a:bodyPr/>
        <a:lstStyle/>
        <a:p>
          <a:pPr>
            <a:defRPr sz="900" baseline="0">
              <a:latin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21413292693252053"/>
          <c:y val="4.6770924467774859E-2"/>
          <c:w val="0.73855524511049064"/>
          <c:h val="0.60811533974919862"/>
        </c:manualLayout>
      </c:layout>
      <c:bar3DChart>
        <c:barDir val="col"/>
        <c:grouping val="stacked"/>
        <c:ser>
          <c:idx val="0"/>
          <c:order val="0"/>
          <c:tx>
            <c:strRef>
              <c:f>Arkusz4!$J$34</c:f>
              <c:strCache>
                <c:ptCount val="1"/>
                <c:pt idx="0">
                  <c:v>wiek produkcyjny - mobilny</c:v>
                </c:pt>
              </c:strCache>
            </c:strRef>
          </c:tx>
          <c:dLbls>
            <c:showVal val="1"/>
          </c:dLbls>
          <c:cat>
            <c:strRef>
              <c:f>Arkusz4!$K$33:$L$33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Arkusz4!$K$34:$L$34</c:f>
              <c:numCache>
                <c:formatCode>0.0</c:formatCode>
                <c:ptCount val="2"/>
                <c:pt idx="0">
                  <c:v>59.812357387790385</c:v>
                </c:pt>
                <c:pt idx="1">
                  <c:v>56.067467172465179</c:v>
                </c:pt>
              </c:numCache>
            </c:numRef>
          </c:val>
        </c:ser>
        <c:ser>
          <c:idx val="1"/>
          <c:order val="1"/>
          <c:tx>
            <c:strRef>
              <c:f>Arkusz4!$J$35</c:f>
              <c:strCache>
                <c:ptCount val="1"/>
                <c:pt idx="0">
                  <c:v>wiek produkcyjny - niemobilny</c:v>
                </c:pt>
              </c:strCache>
            </c:strRef>
          </c:tx>
          <c:dLbls>
            <c:showVal val="1"/>
          </c:dLbls>
          <c:cat>
            <c:strRef>
              <c:f>Arkusz4!$K$33:$L$33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Arkusz4!$K$35:$L$35</c:f>
              <c:numCache>
                <c:formatCode>0.0</c:formatCode>
                <c:ptCount val="2"/>
                <c:pt idx="0">
                  <c:v>40.187642612209494</c:v>
                </c:pt>
                <c:pt idx="1">
                  <c:v>43.932532827534914</c:v>
                </c:pt>
              </c:numCache>
            </c:numRef>
          </c:val>
        </c:ser>
        <c:shape val="box"/>
        <c:axId val="118931840"/>
        <c:axId val="118933376"/>
        <c:axId val="0"/>
      </c:bar3DChart>
      <c:catAx>
        <c:axId val="118931840"/>
        <c:scaling>
          <c:orientation val="minMax"/>
        </c:scaling>
        <c:axPos val="b"/>
        <c:tickLblPos val="nextTo"/>
        <c:crossAx val="118933376"/>
        <c:crosses val="autoZero"/>
        <c:auto val="1"/>
        <c:lblAlgn val="ctr"/>
        <c:lblOffset val="100"/>
      </c:catAx>
      <c:valAx>
        <c:axId val="118933376"/>
        <c:scaling>
          <c:orientation val="minMax"/>
          <c:max val="100"/>
        </c:scaling>
        <c:axPos val="l"/>
        <c:majorGridlines/>
        <c:title>
          <c:tx>
            <c:rich>
              <a:bodyPr rot="0" vert="wordArtVert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</c:title>
        <c:numFmt formatCode="0.0" sourceLinked="1"/>
        <c:tickLblPos val="nextTo"/>
        <c:crossAx val="118931840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21413292693252053"/>
          <c:y val="5.1400554097404488E-2"/>
          <c:w val="0.73855524511049064"/>
          <c:h val="0.60811533974919862"/>
        </c:manualLayout>
      </c:layout>
      <c:bar3DChart>
        <c:barDir val="col"/>
        <c:grouping val="stacked"/>
        <c:ser>
          <c:idx val="0"/>
          <c:order val="0"/>
          <c:tx>
            <c:strRef>
              <c:f>Arkusz4!$J$39</c:f>
              <c:strCache>
                <c:ptCount val="1"/>
                <c:pt idx="0">
                  <c:v>wiek produkcyjny - mobilny</c:v>
                </c:pt>
              </c:strCache>
            </c:strRef>
          </c:tx>
          <c:dLbls>
            <c:showVal val="1"/>
          </c:dLbls>
          <c:cat>
            <c:strRef>
              <c:f>Arkusz4!$K$38:$L$38</c:f>
              <c:strCache>
                <c:ptCount val="2"/>
                <c:pt idx="0">
                  <c:v>Wieś</c:v>
                </c:pt>
                <c:pt idx="1">
                  <c:v>Miasta</c:v>
                </c:pt>
              </c:strCache>
            </c:strRef>
          </c:cat>
          <c:val>
            <c:numRef>
              <c:f>Arkusz4!$K$39:$L$39</c:f>
              <c:numCache>
                <c:formatCode>0.0</c:formatCode>
                <c:ptCount val="2"/>
                <c:pt idx="0">
                  <c:v>65.23812566436473</c:v>
                </c:pt>
                <c:pt idx="1">
                  <c:v>53.908815455133414</c:v>
                </c:pt>
              </c:numCache>
            </c:numRef>
          </c:val>
        </c:ser>
        <c:ser>
          <c:idx val="1"/>
          <c:order val="1"/>
          <c:tx>
            <c:strRef>
              <c:f>Arkusz4!$J$40</c:f>
              <c:strCache>
                <c:ptCount val="1"/>
                <c:pt idx="0">
                  <c:v>wiek produkcyjny - niemobilny</c:v>
                </c:pt>
              </c:strCache>
            </c:strRef>
          </c:tx>
          <c:dLbls>
            <c:showVal val="1"/>
          </c:dLbls>
          <c:cat>
            <c:strRef>
              <c:f>Arkusz4!$K$38:$L$38</c:f>
              <c:strCache>
                <c:ptCount val="2"/>
                <c:pt idx="0">
                  <c:v>Wieś</c:v>
                </c:pt>
                <c:pt idx="1">
                  <c:v>Miasta</c:v>
                </c:pt>
              </c:strCache>
            </c:strRef>
          </c:cat>
          <c:val>
            <c:numRef>
              <c:f>Arkusz4!$K$40:$L$40</c:f>
              <c:numCache>
                <c:formatCode>0.0</c:formatCode>
                <c:ptCount val="2"/>
                <c:pt idx="0">
                  <c:v>34.761874335635497</c:v>
                </c:pt>
                <c:pt idx="1">
                  <c:v>46.091184544866444</c:v>
                </c:pt>
              </c:numCache>
            </c:numRef>
          </c:val>
        </c:ser>
        <c:shape val="box"/>
        <c:axId val="119262592"/>
        <c:axId val="146289792"/>
        <c:axId val="0"/>
      </c:bar3DChart>
      <c:catAx>
        <c:axId val="119262592"/>
        <c:scaling>
          <c:orientation val="minMax"/>
        </c:scaling>
        <c:axPos val="b"/>
        <c:tickLblPos val="nextTo"/>
        <c:crossAx val="146289792"/>
        <c:crosses val="autoZero"/>
        <c:auto val="1"/>
        <c:lblAlgn val="ctr"/>
        <c:lblOffset val="100"/>
      </c:catAx>
      <c:valAx>
        <c:axId val="146289792"/>
        <c:scaling>
          <c:orientation val="minMax"/>
          <c:max val="100"/>
        </c:scaling>
        <c:axPos val="l"/>
        <c:majorGridlines/>
        <c:title>
          <c:tx>
            <c:rich>
              <a:bodyPr rot="0" vert="wordArtVert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</c:title>
        <c:numFmt formatCode="0.0" sourceLinked="1"/>
        <c:tickLblPos val="nextTo"/>
        <c:crossAx val="119262592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/>
      <c:barChart>
        <c:barDir val="col"/>
        <c:grouping val="clustered"/>
        <c:ser>
          <c:idx val="0"/>
          <c:order val="0"/>
          <c:tx>
            <c:strRef>
              <c:f>Arkusz1!$I$26</c:f>
              <c:strCache>
                <c:ptCount val="1"/>
                <c:pt idx="0">
                  <c:v>Wyższe</c:v>
                </c:pt>
              </c:strCache>
            </c:strRef>
          </c:tx>
          <c:cat>
            <c:strRef>
              <c:f>Arkusz1!$J$25:$K$25</c:f>
              <c:strCache>
                <c:ptCount val="2"/>
                <c:pt idx="0">
                  <c:v>Ogółem</c:v>
                </c:pt>
                <c:pt idx="1">
                  <c:v>Poszukujący pracy powyżej 12 miesięcy</c:v>
                </c:pt>
              </c:strCache>
            </c:strRef>
          </c:cat>
          <c:val>
            <c:numRef>
              <c:f>Arkusz1!$J$26:$K$26</c:f>
              <c:numCache>
                <c:formatCode>0.0%</c:formatCode>
                <c:ptCount val="2"/>
                <c:pt idx="0">
                  <c:v>0.13213989561484787</c:v>
                </c:pt>
                <c:pt idx="1">
                  <c:v>9.9397590361445798E-2</c:v>
                </c:pt>
              </c:numCache>
            </c:numRef>
          </c:val>
        </c:ser>
        <c:ser>
          <c:idx val="1"/>
          <c:order val="1"/>
          <c:tx>
            <c:strRef>
              <c:f>Arkusz1!$I$27</c:f>
              <c:strCache>
                <c:ptCount val="1"/>
                <c:pt idx="0">
                  <c:v>Policealne i średnie zawodowe</c:v>
                </c:pt>
              </c:strCache>
            </c:strRef>
          </c:tx>
          <c:cat>
            <c:strRef>
              <c:f>Arkusz1!$J$25:$K$25</c:f>
              <c:strCache>
                <c:ptCount val="2"/>
                <c:pt idx="0">
                  <c:v>Ogółem</c:v>
                </c:pt>
                <c:pt idx="1">
                  <c:v>Poszukujący pracy powyżej 12 miesięcy</c:v>
                </c:pt>
              </c:strCache>
            </c:strRef>
          </c:cat>
          <c:val>
            <c:numRef>
              <c:f>Arkusz1!$J$27:$K$27</c:f>
              <c:numCache>
                <c:formatCode>0.0%</c:formatCode>
                <c:ptCount val="2"/>
                <c:pt idx="0">
                  <c:v>0.22891566265060243</c:v>
                </c:pt>
                <c:pt idx="1">
                  <c:v>0.22550200803212891</c:v>
                </c:pt>
              </c:numCache>
            </c:numRef>
          </c:val>
        </c:ser>
        <c:ser>
          <c:idx val="2"/>
          <c:order val="2"/>
          <c:tx>
            <c:strRef>
              <c:f>Arkusz1!$I$28</c:f>
              <c:strCache>
                <c:ptCount val="1"/>
                <c:pt idx="0">
                  <c:v>Średnie ogólnokształcące</c:v>
                </c:pt>
              </c:strCache>
            </c:strRef>
          </c:tx>
          <c:cat>
            <c:strRef>
              <c:f>Arkusz1!$J$25:$K$25</c:f>
              <c:strCache>
                <c:ptCount val="2"/>
                <c:pt idx="0">
                  <c:v>Ogółem</c:v>
                </c:pt>
                <c:pt idx="1">
                  <c:v>Poszukujący pracy powyżej 12 miesięcy</c:v>
                </c:pt>
              </c:strCache>
            </c:strRef>
          </c:cat>
          <c:val>
            <c:numRef>
              <c:f>Arkusz1!$J$28:$K$28</c:f>
              <c:numCache>
                <c:formatCode>0.0%</c:formatCode>
                <c:ptCount val="2"/>
                <c:pt idx="0">
                  <c:v>0.14984634895858739</c:v>
                </c:pt>
                <c:pt idx="1">
                  <c:v>0.11787148594377511</c:v>
                </c:pt>
              </c:numCache>
            </c:numRef>
          </c:val>
        </c:ser>
        <c:ser>
          <c:idx val="3"/>
          <c:order val="3"/>
          <c:tx>
            <c:strRef>
              <c:f>Arkusz1!$I$29</c:f>
              <c:strCache>
                <c:ptCount val="1"/>
                <c:pt idx="0">
                  <c:v>Zasadnicze zawodowe</c:v>
                </c:pt>
              </c:strCache>
            </c:strRef>
          </c:tx>
          <c:cat>
            <c:strRef>
              <c:f>Arkusz1!$J$25:$K$25</c:f>
              <c:strCache>
                <c:ptCount val="2"/>
                <c:pt idx="0">
                  <c:v>Ogółem</c:v>
                </c:pt>
                <c:pt idx="1">
                  <c:v>Poszukujący pracy powyżej 12 miesięcy</c:v>
                </c:pt>
              </c:strCache>
            </c:strRef>
          </c:cat>
          <c:val>
            <c:numRef>
              <c:f>Arkusz1!$J$29:$K$29</c:f>
              <c:numCache>
                <c:formatCode>0.0%</c:formatCode>
                <c:ptCount val="2"/>
                <c:pt idx="0">
                  <c:v>0.31613092044290531</c:v>
                </c:pt>
                <c:pt idx="1">
                  <c:v>0.35682730923695455</c:v>
                </c:pt>
              </c:numCache>
            </c:numRef>
          </c:val>
        </c:ser>
        <c:ser>
          <c:idx val="4"/>
          <c:order val="4"/>
          <c:tx>
            <c:strRef>
              <c:f>Arkusz1!$I$30</c:f>
              <c:strCache>
                <c:ptCount val="1"/>
                <c:pt idx="0">
                  <c:v>Gimnazjalne i niższe**</c:v>
                </c:pt>
              </c:strCache>
            </c:strRef>
          </c:tx>
          <c:cat>
            <c:strRef>
              <c:f>Arkusz1!$J$25:$K$25</c:f>
              <c:strCache>
                <c:ptCount val="2"/>
                <c:pt idx="0">
                  <c:v>Ogółem</c:v>
                </c:pt>
                <c:pt idx="1">
                  <c:v>Poszukujący pracy powyżej 12 miesięcy</c:v>
                </c:pt>
              </c:strCache>
            </c:strRef>
          </c:cat>
          <c:val>
            <c:numRef>
              <c:f>Arkusz1!$J$30:$K$30</c:f>
              <c:numCache>
                <c:formatCode>0.0%</c:formatCode>
                <c:ptCount val="2"/>
                <c:pt idx="0">
                  <c:v>0.17194283205697625</c:v>
                </c:pt>
                <c:pt idx="1">
                  <c:v>0.20020080321285139</c:v>
                </c:pt>
              </c:numCache>
            </c:numRef>
          </c:val>
        </c:ser>
        <c:dLbls>
          <c:showVal val="1"/>
        </c:dLbls>
        <c:gapWidth val="75"/>
        <c:axId val="146349056"/>
        <c:axId val="146404096"/>
      </c:barChart>
      <c:catAx>
        <c:axId val="14634905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6404096"/>
        <c:crosses val="autoZero"/>
        <c:auto val="1"/>
        <c:lblAlgn val="ctr"/>
        <c:lblOffset val="100"/>
      </c:catAx>
      <c:valAx>
        <c:axId val="146404096"/>
        <c:scaling>
          <c:orientation val="minMax"/>
        </c:scaling>
        <c:axPos val="l"/>
        <c:numFmt formatCode="0.0%" sourceLinked="1"/>
        <c:majorTickMark val="none"/>
        <c:tickLblPos val="nextTo"/>
        <c:crossAx val="146349056"/>
        <c:crosses val="autoZero"/>
        <c:crossBetween val="between"/>
        <c:majorUnit val="0.1"/>
      </c:valAx>
    </c:plotArea>
    <c:legend>
      <c:legendPos val="b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0"/>
      <c:rotY val="30"/>
      <c:perspective val="50"/>
    </c:view3D>
    <c:plotArea>
      <c:layout>
        <c:manualLayout>
          <c:layoutTarget val="inner"/>
          <c:xMode val="edge"/>
          <c:yMode val="edge"/>
          <c:x val="0.41945085789896203"/>
          <c:y val="0"/>
          <c:w val="0.53317177501572632"/>
          <c:h val="0.81693430465830175"/>
        </c:manualLayout>
      </c:layout>
      <c:bar3DChart>
        <c:barDir val="bar"/>
        <c:grouping val="percentStacked"/>
        <c:ser>
          <c:idx val="0"/>
          <c:order val="0"/>
          <c:tx>
            <c:strRef>
              <c:f>Arkusz1!$B$95</c:f>
              <c:strCache>
                <c:ptCount val="1"/>
                <c:pt idx="0">
                  <c:v>15-24 lata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Arkusz1!$B$96:$B$101</c:f>
              <c:numCache>
                <c:formatCode>0.00</c:formatCode>
                <c:ptCount val="6"/>
                <c:pt idx="0">
                  <c:v>31.9</c:v>
                </c:pt>
                <c:pt idx="1">
                  <c:v>45.7</c:v>
                </c:pt>
                <c:pt idx="2">
                  <c:v>5.0999999999999996</c:v>
                </c:pt>
                <c:pt idx="3">
                  <c:v>14.3</c:v>
                </c:pt>
                <c:pt idx="4">
                  <c:v>12.6</c:v>
                </c:pt>
                <c:pt idx="5">
                  <c:v>23.9</c:v>
                </c:pt>
              </c:numCache>
            </c:numRef>
          </c:val>
        </c:ser>
        <c:ser>
          <c:idx val="1"/>
          <c:order val="1"/>
          <c:tx>
            <c:strRef>
              <c:f>Arkusz1!$C$95</c:f>
              <c:strCache>
                <c:ptCount val="1"/>
                <c:pt idx="0">
                  <c:v>25-34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Arkusz1!$C$96:$C$101</c:f>
              <c:numCache>
                <c:formatCode>0.00</c:formatCode>
                <c:ptCount val="6"/>
                <c:pt idx="0">
                  <c:v>35</c:v>
                </c:pt>
                <c:pt idx="1">
                  <c:v>30.1</c:v>
                </c:pt>
                <c:pt idx="2">
                  <c:v>19.600000000000001</c:v>
                </c:pt>
                <c:pt idx="3">
                  <c:v>27.5</c:v>
                </c:pt>
                <c:pt idx="4">
                  <c:v>24</c:v>
                </c:pt>
                <c:pt idx="5">
                  <c:v>28.3</c:v>
                </c:pt>
              </c:numCache>
            </c:numRef>
          </c:val>
        </c:ser>
        <c:ser>
          <c:idx val="2"/>
          <c:order val="2"/>
          <c:tx>
            <c:strRef>
              <c:f>Arkusz1!$D$95</c:f>
              <c:strCache>
                <c:ptCount val="1"/>
                <c:pt idx="0">
                  <c:v>35-44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Arkusz1!$D$96:$D$101</c:f>
              <c:numCache>
                <c:formatCode>0.00</c:formatCode>
                <c:ptCount val="6"/>
                <c:pt idx="0">
                  <c:v>15</c:v>
                </c:pt>
                <c:pt idx="1">
                  <c:v>11.7</c:v>
                </c:pt>
                <c:pt idx="2">
                  <c:v>23.3</c:v>
                </c:pt>
                <c:pt idx="3">
                  <c:v>21.7</c:v>
                </c:pt>
                <c:pt idx="4">
                  <c:v>20.9</c:v>
                </c:pt>
                <c:pt idx="5">
                  <c:v>18.600000000000001</c:v>
                </c:pt>
              </c:numCache>
            </c:numRef>
          </c:val>
        </c:ser>
        <c:ser>
          <c:idx val="3"/>
          <c:order val="3"/>
          <c:tx>
            <c:strRef>
              <c:f>Arkusz1!$E$95</c:f>
              <c:strCache>
                <c:ptCount val="1"/>
                <c:pt idx="0">
                  <c:v>45-54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Arkusz1!$E$96:$E$101</c:f>
              <c:numCache>
                <c:formatCode>0.00</c:formatCode>
                <c:ptCount val="6"/>
                <c:pt idx="0">
                  <c:v>12.5</c:v>
                </c:pt>
                <c:pt idx="1">
                  <c:v>8.8000000000000007</c:v>
                </c:pt>
                <c:pt idx="2">
                  <c:v>34</c:v>
                </c:pt>
                <c:pt idx="3">
                  <c:v>24.6</c:v>
                </c:pt>
                <c:pt idx="4">
                  <c:v>28</c:v>
                </c:pt>
                <c:pt idx="5">
                  <c:v>19.8</c:v>
                </c:pt>
              </c:numCache>
            </c:numRef>
          </c:val>
        </c:ser>
        <c:ser>
          <c:idx val="4"/>
          <c:order val="4"/>
          <c:tx>
            <c:strRef>
              <c:f>Arkusz1!$F$95</c:f>
              <c:strCache>
                <c:ptCount val="1"/>
                <c:pt idx="0">
                  <c:v>55-64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Arkusz1!$F$96:$F$101</c:f>
              <c:numCache>
                <c:formatCode>0.00</c:formatCode>
                <c:ptCount val="6"/>
                <c:pt idx="0">
                  <c:v>5.5</c:v>
                </c:pt>
                <c:pt idx="1">
                  <c:v>3.6</c:v>
                </c:pt>
                <c:pt idx="2">
                  <c:v>17.7</c:v>
                </c:pt>
                <c:pt idx="3">
                  <c:v>11.6</c:v>
                </c:pt>
                <c:pt idx="4">
                  <c:v>14.3</c:v>
                </c:pt>
                <c:pt idx="5">
                  <c:v>9.2000000000000011</c:v>
                </c:pt>
              </c:numCache>
            </c:numRef>
          </c:val>
        </c:ser>
        <c:ser>
          <c:idx val="5"/>
          <c:order val="5"/>
          <c:tx>
            <c:strRef>
              <c:f>Arkusz1!$G$95</c:f>
              <c:strCache>
                <c:ptCount val="1"/>
                <c:pt idx="0">
                  <c:v>65 lat i więcej</c:v>
                </c:pt>
              </c:strCache>
            </c:strRef>
          </c:tx>
          <c:cat>
            <c:strRef>
              <c:f>Arkusz1!$A$96:$A$101</c:f>
              <c:strCache>
                <c:ptCount val="6"/>
                <c:pt idx="0">
                  <c:v>Długotrwale bezrobotni dotychczas niepracujący</c:v>
                </c:pt>
                <c:pt idx="1">
                  <c:v>Bezrobotni ogółem dotychczas niepracujący</c:v>
                </c:pt>
                <c:pt idx="2">
                  <c:v>Długotrwale bezrobotni uprzednio pracujący</c:v>
                </c:pt>
                <c:pt idx="3">
                  <c:v>Bezrobotni ogółem uprzednio pracujący</c:v>
                </c:pt>
                <c:pt idx="4">
                  <c:v>Długotrwale bezrobotni </c:v>
                </c:pt>
                <c:pt idx="5">
                  <c:v>Bezrobotni ogółem</c:v>
                </c:pt>
              </c:strCache>
            </c:strRef>
          </c:cat>
          <c:val>
            <c:numRef>
              <c:f>Arkusz1!$G$96:$G$101</c:f>
              <c:numCache>
                <c:formatCode>0.00</c:formatCode>
                <c:ptCount val="6"/>
                <c:pt idx="0">
                  <c:v>0.1</c:v>
                </c:pt>
                <c:pt idx="1">
                  <c:v>0.1</c:v>
                </c:pt>
                <c:pt idx="2">
                  <c:v>0.30000000000000032</c:v>
                </c:pt>
                <c:pt idx="3">
                  <c:v>0.30000000000000032</c:v>
                </c:pt>
                <c:pt idx="4">
                  <c:v>0.2</c:v>
                </c:pt>
                <c:pt idx="5">
                  <c:v>0.2</c:v>
                </c:pt>
              </c:numCache>
            </c:numRef>
          </c:val>
        </c:ser>
        <c:shape val="box"/>
        <c:axId val="146510208"/>
        <c:axId val="146511744"/>
        <c:axId val="0"/>
      </c:bar3DChart>
      <c:catAx>
        <c:axId val="146510208"/>
        <c:scaling>
          <c:orientation val="minMax"/>
        </c:scaling>
        <c:axPos val="l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</a:defRPr>
            </a:pPr>
            <a:endParaRPr lang="pl-PL"/>
          </a:p>
        </c:txPr>
        <c:crossAx val="146511744"/>
        <c:crosses val="autoZero"/>
        <c:auto val="1"/>
        <c:lblAlgn val="ctr"/>
        <c:lblOffset val="100"/>
      </c:catAx>
      <c:valAx>
        <c:axId val="146511744"/>
        <c:scaling>
          <c:orientation val="minMax"/>
        </c:scaling>
        <c:axPos val="b"/>
        <c:majorGridlines/>
        <c:numFmt formatCode="0%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</a:defRPr>
            </a:pPr>
            <a:endParaRPr lang="pl-PL"/>
          </a:p>
        </c:txPr>
        <c:crossAx val="146510208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0280167458406542"/>
          <c:y val="0.90971953113190696"/>
          <c:w val="0.59439647729984169"/>
          <c:h val="5.5376454906487627E-2"/>
        </c:manualLayout>
      </c:layout>
      <c:txPr>
        <a:bodyPr/>
        <a:lstStyle/>
        <a:p>
          <a:pPr>
            <a:defRPr sz="900" baseline="0">
              <a:latin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A8B5-A2DC-4BF8-B81C-78FFC7AF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2279</Words>
  <Characters>13676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Statystyczny</Company>
  <LinksUpToDate>false</LinksUpToDate>
  <CharactersWithSpaces>15924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Miguła Michał</dc:creator>
  <cp:keywords/>
  <dc:description/>
  <cp:lastModifiedBy>Brzezińska Beata</cp:lastModifiedBy>
  <cp:revision>26</cp:revision>
  <cp:lastPrinted>2014-06-17T08:11:00Z</cp:lastPrinted>
  <dcterms:created xsi:type="dcterms:W3CDTF">2014-06-05T09:44:00Z</dcterms:created>
  <dcterms:modified xsi:type="dcterms:W3CDTF">2014-07-24T09:11:00Z</dcterms:modified>
</cp:coreProperties>
</file>